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E-4415/2011 vom 29. November 2012</w:t>
      </w:r>
    </w:p>
    <w:p>
      <w:r>
        <w:t>Bundesverwaltungsgericht, 2012-11-29, DE</w:t>
      </w:r>
    </w:p>
    <w:p>
      <w:r>
        <w:rPr>
          <w:b/>
        </w:rPr>
        <w:t xml:space="preserve">Quelle: </w:t>
      </w:r>
      <w:r>
        <w:t>https://mcp.opencaselaw.ch/entscheid/bvger_E-4415_2011</w:t>
      </w:r>
    </w:p>
    <w:p>
      <w:r>
        <w:t>FR: TAF E-4415/2011 du 29 novembre 2012</w:t>
      </w:r>
    </w:p>
    <w:p>
      <w:r>
        <w:t>IT: TAF E-4415/2011 del 29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10. August 2011 richtet sich ausschliesslich gegen den Vollzug der von der Vorinstanz verfügten Wegweisung. Somit ist die Verfügung des BFM vom 20. Juli 2011 in Rechtskraft erwachsen, soweit sie die Frage des Asyls und der Flüchtlingseigenschaft betrifft, und auch die Frage der Wegweisung ist nicht mehr zu überprüfen (vgl. Zwischenverfügung vom 19. August 2011). Gegenstand des Beschwerde­verfahrens bildet damit einzig die Frage, ob die Wegweisung zu vollziehen oder an Stelle des Vollzugs eine vorläufige Aufnahme anzuordnen ist.</w:t>
      </w:r>
    </w:p>
    <w:p>
      <w:r>
        <w:rPr>
          <w:b/>
        </w:rPr>
        <w:t>E. 4</w:t>
      </w:r>
    </w:p>
    <w:p>
      <w:r>
        <w:t>Hinsichtlich der verfahrensrechtlichen Rügen des Beschwerdeführers ist Folgendes festzustellen:</w:t>
      </w:r>
    </w:p>
    <w:p>
      <w:r>
        <w:rPr>
          <w:b/>
        </w:rPr>
        <w:t>E. 4.1</w:t>
      </w:r>
    </w:p>
    <w:p>
      <w:r>
        <w:t>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Entscheidungen und Mitteilungen der Schweize­ri­schen Asylrekurskommission [EMARK] 1995 Nr. 12 E. 12c S. 114 f.; Alfred Kölz/Isabelle Häner, Verwaltungsverfah­ren und Ver­waltungs­rechts­pflege des Bundes, 2. Aufl., Zürich 1998, S. 119, Rz. 325 und S. 128, Rz. 354 f.). 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w:t>
      </w:r>
    </w:p>
    <w:p>
      <w:r>
        <w:rPr>
          <w:b/>
        </w:rPr>
        <w:t>E. 4.2</w:t>
      </w:r>
    </w:p>
    <w:p>
      <w:r>
        <w:t>Mit Ausnahme der UNHCR-Richtlinien zur Feststellung des internationalen Schutzbedarfs sri-lankischer Asylsuchender vom 5. Juli 2010 finden sich weder in der angefochtenen Verfügung noch in den übrigen vor­instanzlichen Akten explizit bezeichnete Länderberichte oder -informatio­nen, welche als Grundlage des angefochtenen Entscheids des BFM zu bezeichnen wären. Allgemeine Länderinformationen, welche der internen Erkenntnisbildung dienen, sind gemäss ständiger Rechtspraxis nicht Bestandteil des Akteneinsichtsrechts und folglich auch nicht offenzulegen. In Bezug auf die UNHCR-Richtlinien vom 5. Juli 2010 ist festzustellen, dass diese öffentlich zugänglich sind - so auch im Internet -, weswegen diesbezüglich keine Verletzung des Akteneinsichtsrechts beziehungsweise der Begründungspflicht vorliegt. Daran ändert auch der Umstand nichts, dass in der angefochtenen Verfügung darauf verzichtet wurde, bezüglich dieses Dokuments die relevanten Passagen anzugeben. Aus den Akten geht namentlich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An dieser Einschätzung ändert auch der Umstand nichts, dass das Bundesverwaltungsgericht dem Beschwerdeführer mit Verfügung vom 29. März 2012 den BFM-Bericht vom 22. Dezember 2011 betreffend die Dienstreise nach Sri Lanka zur Stellungnahme zustellte.</w:t>
      </w:r>
    </w:p>
    <w:p>
      <w:r>
        <w:rPr>
          <w:b/>
        </w:rPr>
        <w:t>E. 4.3</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in seinem Urteil E-6220/2006 vom 27. Oktober 2011 (vgl. BVGE 2011/24) zur aktuellen Situation in Sri Lanka geäussert und eine Anpassung seiner in BVGE 2008/2 publizierten Praxis vorgenommen, welche mit derjenigen des BFM im Ergebnis weitgehend übereinstimmt (vgl. E. 5.4 nachstehend). Inwiefern das BFM mit seinem Vorgehen die Begründungspflicht verletzt haben soll, ist in Anbe­tracht der insgesamt ausgewogenen und differenzierten Erwägungen in der angefochtenen Verfügung ohnehin nicht ersichtlich.</w:t>
      </w:r>
    </w:p>
    <w:p>
      <w:r>
        <w:rPr>
          <w:b/>
        </w:rPr>
        <w:t>E. 4.4</w:t>
      </w:r>
    </w:p>
    <w:p>
      <w:r>
        <w:t>Bei dieser Sachlage besteht somit keine Veranlassung, die angefochtene Verfügung aus formellen Gründen aufzuheben, weshalb das Begehren des Beschwerdeführers, die Verfügung des BFM vom 20. Juli 2011 sei in den Dispositivpunkten 4 und 5 aufzuheben und zur Neubeurteilung der Sache an das BFM zurückzuweisen, abzuweisen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Im bereits erwähnten 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 "Vanni-Gebiets" - grundsätzlich zumutbar ist, wobei sich eine zurückhal­tende Beurteilung der individuellen Zumutbarkeitskriterien ebenso aufdrängt wie eine Berücksichtigung des zeitlichen Elementes.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 Die aktuelle Situation in Sri Lanka rechtfertigt, auch unter Berücksichtigung der vom Beschwerdeführer zitierten Berichte und Stellungnahmen verschiedener Organisation, ein Abweichen von dieser Praxis nicht.</w:t>
      </w:r>
    </w:p>
    <w:p>
      <w:r>
        <w:rPr>
          <w:b/>
        </w:rPr>
        <w:t>E. 5.4.3</w:t>
      </w:r>
    </w:p>
    <w:p>
      <w:r>
        <w:t>Der junge und gemäss Aktenlage gesunde Beschwerdeführer verfügt über eine rund 12-jährige Schulausbildung, allerdings über keine Berufserfahrung. Gemäss seinen Angaben im erstinstanzlichen Verfahren stammt er aus der Nordprovinz und hat seit 1990 mit Ausnahme eines kurzzeitigen Aufenthalts in Mullaitivu mit seiner Familie in C._______ gelebt, wo seine Eltern und zwei Schwestern nach wie vor wohnhaft sind. In den letzten zwei Jahren vor der im September 2010 erfolgten Ausreise versteckte er sich angeblich bei Verwandten in D._______ beziehungsweise F._______ (Distrikt C._______). Der Beschwerdeschrift sind keine Anhaltspunkte zu entnehmen, dass sich an der soeben skizzierten Sachlage etwas geändert hätte. Es kann demnach davon ausgegangen werden, dass er in seiner Herkunftsregion in der Nordprovinz ausserhalb des Vanni-Gebiets über ein tragfähiges soziales Beziehungsnetz verfügt, auf dessen Unterstützung er bei der Wiedereingliederung zählen kann. Unter diesen Umständen liegen im Falle des Beschwerdeführers hinreichend günstige Faktoren im Sinne der zitierten Rechtsprechung vor und es ist nicht anzunehmen, dass er bei einer Rückkehr in seinen Heimatstaat in eine existenzielle Notlage geraten wird.</w:t>
      </w:r>
    </w:p>
    <w:p>
      <w:r>
        <w:rPr>
          <w:b/>
        </w:rPr>
        <w:t>E. 5.4.4</w:t>
      </w:r>
    </w:p>
    <w:p>
      <w:r>
        <w:t>Nach dem Gesagten kann der Vollzug der Wegweisung - entgegen der in der Rechtsmitteleingabe vertretenen Auffassung - in genereller und individueller Hinsicht als zumutbar bezeichnet werden.</w:t>
      </w:r>
    </w:p>
    <w:p>
      <w:r>
        <w:rPr>
          <w:b/>
        </w:rPr>
        <w:t>E. 5.5</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dem Beschwer­deführer aufzuerlegen (Art. 63 Abs. 1 VwVG). Da ihm mit Zwischenverfügung vom 19. August 2011 die unentgeltliche Rechtspflege gemäss Art. 65 Abs. 1 VwVG gewährt wurde und keine Anhaltspunkte dafür bestehen, dass sich seine finanzielle Lage seither massgeblich verändert hätte, sind ihm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