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E-440/2022 vom 7. Februar 2022</w:t>
      </w:r>
    </w:p>
    <w:p>
      <w:r>
        <w:t>Bundesverwaltungsgericht, 2022-02-07, FR</w:t>
      </w:r>
    </w:p>
    <w:p>
      <w:r>
        <w:rPr>
          <w:b/>
        </w:rPr>
        <w:t xml:space="preserve">Quelle: </w:t>
      </w:r>
      <w:r>
        <w:t>https://mcp.opencaselaw.ch/entscheid/bvger_E-440_2022</w:t>
      </w:r>
    </w:p>
    <w:p>
      <w:r>
        <w:t>FR: TAF E-440/2022 du 7 février 2022</w:t>
      </w:r>
    </w:p>
    <w:p>
      <w:r>
        <w:t>IT: TAF E-440/2022 del 7 febbraio 2022</w:t>
      </w:r>
    </w:p>
    <w:p>
      <w:pPr>
        <w:pStyle w:val="Heading2"/>
      </w:pPr>
      <w:r>
        <w:t>Regeste</w:t>
      </w:r>
    </w:p>
    <w:p>
      <w:r>
        <w:t>Asile (non-entrée en matière / procédure Dublin) et renvoi</w:t>
      </w:r>
    </w:p>
    <w:p>
      <w:pPr>
        <w:pStyle w:val="Heading2"/>
      </w:pPr>
      <w:r>
        <w:t>Erwägungen</w:t>
      </w:r>
    </w:p>
    <w:p>
      <w:r>
        <w:rPr>
          <w:b/>
        </w:rPr>
        <w:t>E. 11</w:t>
      </w:r>
    </w:p>
    <w:p>
      <w:r>
        <w:t>août 1999 (OA 1, RS 142.311), qu'il dispose à cet égard d'un pouvoir d'appréciation qu'il est tenu d'exercer conformément à la loi (cf. ATAF 2015/9 consid. 6 à 8), qu’en l’occurrence, les investigations entreprises par le SEM ainsi que les informations et pièces fournies, le 11 janvier 2022, par les autorités allemandes ont permis d’établir que le recourant avait fait l’objet d’une</w:t>
      </w:r>
    </w:p>
    <w:p>
      <w:r>
        <w:t>E-440/2022 Page 9 procédure de transfert Dublin entre la Belgique et l’Allemagne, en mai 2020, que, le 15 mai 2020, les autorités allemandes avaient accepté la requête de reprise en charge de l’intéressé adressée, le jour précédant, par les autorités belges, sur la base de l’art. art. 18 par. 1 let. d du règlement Dublin III, que, toutefois, le recourant n’ayant pas été transféré de Belgique en Allemagne dans le délai imparti, la Belgique est devenue compétente pour traiter la demande d’asile de l’intéressé, en application de l'art. 29 par. 2 phr. 1 du règlement Dublin III, que, sur la base de ces informations, le SEM a adressé, le 12 janvier 2022, une demande de reprise en charge du recourant aux autorités belges, que, le 21 janvier suivant, ces dernières ont expressément accepté cette requête, que la Belgique a ainsi reconnu sa compétence pour traiter la demande d’asile du recourant, que ce point n’est pas contesté, que la responsabilité de la Belgique pour mener la procédure d’asile de l’intéressé est dès lors acquise, qu’il n’y a, par ailleurs,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w:t>
      </w:r>
    </w:p>
    <w:p>
      <w:r>
        <w:t>E-440/2022 Page 10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 européenne des droits de l'homme [CourEDH], arrêt M.S.S. c. Belgique et Grèce [GC] du 21 janvier 2011, n° 30696/09, par. 352 s.), que l’intéressé n’a fourni, à l’appui de son recours, aucun élément susceptible de renverser cette présomption de sécurité (à ce sujet, cf. notamment ATAF 2010/45 consid. 7.4 et 7.5), que, dans ces conditions, l’application de l’art. 3 par. 2 du règlement Dublin III ne se justifie pas en l’espèce, que, dans son recours, l’intéressé n’a en outre fait valoir aucun motif s’opposant à son transfert vers la Belgique, qu’il n'a en particulier fourni aucun élément de fait susceptible de démontrer que la Belgique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que ses conditions d'existence en Belgique revêtiraient un tel degré de pénibilité et de gravité qu'elles seraient constitutives d'un traitement contraire à l'art. 3 CEDH ou encore à l'art. 3 Conv. torture, qu’il ne ressort par ailleurs aucunement du dossier que l’intéressé présenterait des affections médicales atteignant le niveau de gravité requis par l’art. 3 CEDH et la jurisprudence restrictive applicable en la matière (cf. CourEDH, arrêt Paposhvili c. Belgique [GC] du 13 décembre 2016, n° 41738/10, par. 183),</w:t>
      </w:r>
    </w:p>
    <w:p>
      <w:r>
        <w:t>E-440/2022 Page 11 qu’au contraire, selon le rapport médical émis le (…) 2022, l’intéressé n’a fait état d’aucun symptôme ni d’affections somatiques et ne nécessite aucun traitement particulier, que dans ces conditions, le transfert du recourant en Belgique est conforme aux engagements de droit international de la Suisse, que le Tribunal constate en outre que le SEM n'a commis ni excès ni abus de son large pouvoir d'appréciation en refusant d'admettre l'existence de raisons humanitaires au sens de l'art. 29a al. 3 OA 1 (cf. ATAF 2015/9 consid. 8), que c'est donc à bon droit que le SEM a considéré que la Belgique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renvoi (recte : transfert) de Suisse vers la Belgique,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directement statué sur le fond, les requêtes formulées dans le recours tendant au prononcé de mesures provisionnelles urgentes et à l’octroi de l’effet suspensif sont sans objet, qu’il en va de même de la demande tendant à l’exemption du versement d’une avance de frais,</w:t>
      </w:r>
    </w:p>
    <w:p>
      <w:r>
        <w:t>E-440/2022 Page 12 qu’en outre, les conclusions du recours étant d'emblée vouées à l'échec, la requête d'assistance judiciaire totale contenue dans le mémoire de recours est rejetée (cf. art. 65 al. 1 PA et art. 102m al. 1 lit. 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E-440/2022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