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E-440/2013 vom 22. Februar 2013</w:t>
      </w:r>
    </w:p>
    <w:p>
      <w:r>
        <w:t>Bundesverwaltungsgericht, 2013-02-22, DE</w:t>
      </w:r>
    </w:p>
    <w:p>
      <w:r>
        <w:rPr>
          <w:b/>
        </w:rPr>
        <w:t xml:space="preserve">Quelle: </w:t>
      </w:r>
      <w:r>
        <w:t>https://mcp.opencaselaw.ch/entscheid/bvger_E-440_2013</w:t>
      </w:r>
    </w:p>
    <w:p>
      <w:r>
        <w:t>FR: TAF E-440/2013 du 22 février 2013</w:t>
      </w:r>
    </w:p>
    <w:p>
      <w:r>
        <w:t>IT: TAF E-440/2013 del 22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Artikel 52 und 68 in der bisherigen Fassung des Asylgesetzes Geltung haben.</w:t>
      </w:r>
    </w:p>
    <w:p>
      <w:r>
        <w:rPr>
          <w:b/>
        </w:rPr>
        <w:t>E. 1.4</w:t>
      </w:r>
    </w:p>
    <w:p>
      <w:r>
        <w:t>Die Beschwerde ist nicht in einer Amtssprache des Bundes abgefasst. Aus prozessökonomischen Gründen und aufgrund besonderer Umstände hat das Bundesverwaltungsgericht indessen ausnahmsweise auf eine Übersetzung der Eingabe respektive Ansetzung einer Frist zur Beschwer-deverbesserung verzichtet. Die rubrizierten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und Art. 48 Abs. 1 sowie Art. 52 VwVG). Auf die Beschwerde ist einzutreten. Die angefochtene Verfügung bezieht sich formell lediglich auf die rubrizierten Beschwerdeführerinnen und den ehemaligen Lebenspartner der Beschwerdeführerin. Indessen gab diese in ihrer Eingabe an die Botschaft vom 25. November 2011 - wenngleich ohne Angabe des Geburtsdatums - an, dass sie im März 2011 den Sohn N._______ bekommen hatte, und führte aus, sie möchte, dass ihre Kinder und ihre Mutter in Sicherheit und Ruhe sowie ohne Verfolgung leben könnten. Der (...) Sohn ist deshalb sowohl in das erstinstanzliche Asylverfahren als auch in das vorliegende Beschwerdeverfahren einzubeziehen. Gemäss Angaben der Botschaft sei die Beschwerdeführerin schriftlich darüber informiert worden, dass ihre Mutter ein eigenes Gesuch einreichen müsse. Am 12. Januar 2012 wurde für sie ein eigenes Dossier (N [...]) eröffnet. Sie ist daher mangels formeller Beschwer im vorliegenden Verfahren nicht zur Beschwerde legitimiert.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19 AsylG kann ein Asylgesuch im Ausland bei einer Schweizerischen Vertretung gestellt werden, welche es mit einem Bericht an das Bundesamt überweist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4.2</w:t>
      </w:r>
    </w:p>
    <w:p>
      <w:r>
        <w:t>Vorliegend wurden die Beschwerdeführenden aus Kapazitätsgründen nicht zu ihren Asylgesuchen befragt. Das BFM stellte vor diesem Hintergrund in der Zwischenverfügung vom 20. Oktober 2010 fest, der entscheidwesentliche Sachverhalt werde als erstellt erachtet, und es erwäge, die Asylgesuche abzulehnen sowie die Einreisebewilligung zu verweigern. Gleichzeitig forderte es sie zur Einreichung einer schriftlichen Stellungnahme auf, die innert Frist einging. Aufgrund der Stellungnahme gelangte das Bundesamt mit Schreiben vom 18. Oktober 2011 mit weiteren Fragen an die Beschwerdeführerin, welche diese mit Eingabe vom 25. November 2011 beantwortete. Mit dieser Vorgehensweise hat das Bundesamt den Anforderungen an die Feststellung des rechtserheblichen Sachverhalts Genüge getan. In der Beschwerde vom 24. Dezember 2012 rügen die Beschwerdeführenden denn auch keine Verletzung ihrer prozessualen Rechte. Es ist somit in materieller Hinsicht zu prüfen, ob das BFM den Beschwerdeführenden zu Recht die Einreise in die Schweiz verweigert hat.</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Bundesamt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 S. 131 ff., welche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Zur Begründung ihres angefochtenen Entscheides führte die Vorinstanz aus, die Beschwerdeführenden machten eine Verfolgung durch die FARC geltend. Es sei festzuhalten, dass der kolumbianische Staat grundsätzlich über eine funktionierende und effiziente Schutzinfrastruktur, über einen funktionierenden Polizeiapparat und über ein Rechts- und Justizsystem verfüge. Da er die Aktivitäten der Guerilla im Rahmen des Möglichen bekämpfe, könne die Schutzwilligkeit als gegeben erachtet werden. Die Beschwerdeführenden hätten somit die Möglichkeit, das Verschwinden des Lebenspartners zu melden und Untersuchungen anzustrengen. Gemäss dem Subsidiaritätsprinzip seien Personen mit einer innerstaatlichen Fluchtalternative nicht auf den Schutz eines Drittstaates angewiesen. Die geltend gemachte Verfolgung durch Paramilitärs in den 1990er Jahren sei heute nicht mehr aktuell, und es könne davon ausgegangen werden, dass den Beschwerdeführenden von dieser Seite keine Gefahr mehr drohe. Der tornadoartige Sturm (...), welcher ihre Wohnung zerstört habe, sei ein tragisches Ereignis, stelle jedoch keinen Asylgrund dar. Es handle sich bei den Beschwerdeführenden nicht um landesweit bekannte Persönlichkeiten, weshalb nicht davon auszugehen sei, ihre Verfolger würden sie an einem beliebigen Ort in Kolumbien ausfindig machen können. Sie machten zwar geltend, bereits mehrere Male ihren Aufenthaltsort gewechselt und in verschiedenen Departementen Drohungen erhalten zu haben, seit (...) würden sie aber mit kurzem Unterbruch in Bogotá leben und dort keine persönliche Verfolgung geltend machen. Zudem würden weitere innerstaatliche Fluchtalternativen bestehen, und sie könnten sich in einer anderen Region innerhalb Kolumbiens, wo sie nicht bekannt seien, den Übergriffen der FARC entziehen. Sie seien demzufolge nicht einer unmittelbaren Gefahr ausgesetzt und würden nicht des Schutzes der Schweizer Behörden bedürfen. Weiter führte das BFM aus, die Asylgesuche könnten auch gestützt auf Art. 52 Abs. 2 AsylG abgelehnt werden, da die Beschwerdeführenden keine besonders nahen Beziehungen zur Schweiz geltend machen würden und es ihnen unter diesen Umständen zuzumuten sei, in einem anderen Land um Asylgewährung nachzusuchen, beispielsweise in einem der Nachbarstaaten von Kolumbien.</w:t>
      </w:r>
    </w:p>
    <w:p>
      <w:r>
        <w:rPr>
          <w:b/>
        </w:rPr>
        <w:t>E. 6.2</w:t>
      </w:r>
    </w:p>
    <w:p>
      <w:r>
        <w:t>In der Rechtsmitteleingabe teilt die Beschwerdeführerin mit, es habe sich herausgestellt, dass ihr Lebenspartner C._______ nicht - wie befürchtet - gewaltsam entführt worden sei, sondern sich aus Angst vor der Verfolgung, welcher er ihretwegen ausgesetzt gewesen sei, entschieden habe, sie (...) zu verlassen. Sie macht geltend, sie befinde sich nach wie vor in einer schwierigen Situation, und die Gefahr nehme Tag für Tag zu. Es habe sich herausgestellt, dass sich ihre Verfolgung nicht auf ein bestimmtes Gebiet in Kolumbien limitiere. Sie hätten sich (...) nach P._______ (Departement Cesar) begeben, wo die Situation jedoch trotz der Distanz zu Bogotá und zum Departement Putumayo ebenfalls bedrohlich und unruhig gewesen sei. Im (...) habe sie in einer eheähnlichen Lebensgemeinschaft mit einem Anwalt gelebt, welcher aufgrund seiner Arbeit in einer öffentlichen Funktion verfolgt worden sei, was sie zum Umzug nach Q._______ (Departement Atlántico) gezwungen habe. Danach sei er mit seiner Familie nach Ecuador geflohen und habe schliesslich in den Vereinigten Staaten von Amerika politisches Asyl erhalten. Da ihr Vater in dieser Zeit verstorben sei, sei sie in Kolumbien zurückgeblieben. Nach der Flucht ihres damaligen Partners sei sie seinetwegen bedroht worden. Als sie (...) nach P._______ gegangen sei, hätten dessen Freunde und Vertraute sie vor der offensichtlichen Gefahr gewarnt, der sie sich dort aussetze; sie habe deshalb den Ort verlassen und sei schliesslich nach R._______ (De-partement Tolima) zu nahen Verwandten gezogen. Auch diese seien vom bewaffneten Konflikt in Kolumbien betroffen. Ein Cousin der Beschwerdeführerin sei seit Oktober 2006 verschwunden, die Paramilitärs des Departementes Meta seien dafür verantwortlich. Da sie bei der Familie gewohnt habe, sei sie mit dem Bruder des Verschwundenen nach S._______ (Departement Meta) gefahren und habe Plakate aufgehängt, um Informationen über dessen Aufenthaltsort zu erhalten, weshalb sie bedroht worden seien. Ihr Bruder G._______ sei nach F._______ gereist und habe herausgefunden, dass die Probleme der Beschwerdeführerin auf die Ereignisse im (...) zurückgehen und im Zusammenhang mit ihrem damaligen Lebenspartner stehen würden, da sie das Bindeglied sei, um ihn zu finden. Der Mord an ihrem Bruder I._______ sei immer noch nicht aufgeklärt. Dass er ein unermüdlicher Verfechter der Rechte des Volkes gewesen sei, habe dazu geführt, dass sein Tod nicht ordnungsgemäss untersucht worden sei. Der Staat Kolumbien garantiere ihr Recht auf Leben nicht, da man sich offenbar nicht für ihre ständigen und durch die konstanten Drohungen erzwungenen Wohnsitzwechsel interessiere. Von (...), an welche sie sich gewendet habe, habe sie lediglich ein Dokument erhalten, mit welchem sie medizinische Versorgung bekommen könne, weitere Unterstützung oder Information über Schutzprogramme habe sie nicht erhalten.</w:t>
      </w:r>
    </w:p>
    <w:p>
      <w:r>
        <w:rPr>
          <w:b/>
        </w:rPr>
        <w:t>E. 7.1</w:t>
      </w:r>
    </w:p>
    <w:p>
      <w:r>
        <w:t>Nach Prüfung der Akten gelangt das Bundesverwaltungsgericht zu­nächst zum Schluss, dass die Vorinstanz zutreffend feststellte, dass die Be­schwerdeführenden in ihrem Gesuch keine besonders nahen Be­zie-hungen zur Schweiz geltend gemacht haben. Im Weiteren hat das BFM zu Recht erwogen, dass es ihnen zuzumuten sei, in einem anderen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einschränkend festzustellen ist, dass es in den Grenzgebieten - insbesondere in denjenigen zu Panama und Venezuela - in den letzten Jahren zu unkontrollierten Rückschiebungen durch die Grenzbehörden gekommen ist. Für die praktische Möglichkeit und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(vgl. EMARK 2004 Nr. 20 und 1997 Nr. 15).</w:t>
      </w:r>
    </w:p>
    <w:p>
      <w:r>
        <w:rPr>
          <w:b/>
        </w:rPr>
        <w:t>E. 7.2</w:t>
      </w:r>
    </w:p>
    <w:p>
      <w:r>
        <w:t>Damit steht fest, dass die Beschwerdeführenden aufgrund der Akten zwar über keine Beziehungsnähe zur Schweiz verfügen, aber die Möglichkeit einer anderweitigen Schutzsuche haben. Bei dieser Sachlage kann im Ergebnis die Frage, ob sie in Kolumbien tatsächlich einer Verfolgung im Sinne von Art. 3 AsylG ausgesetzt sind und ob sich diese auf das gesamte Staatsgebiet erstreckt, offenbleiben. Das BFM hat den Beschwerdeführenden daher zu Recht die Einreise in die Schweiz verweigert und die Asylgesuche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9</w:t>
      </w:r>
    </w:p>
    <w:p>
      <w:r>
        <w:t>Bei diesem Ausgang des Verfahrens wären die Kosten grundsätzlich den Beschwerdeführenden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