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E-4409/2014 vom 24. September 2014</w:t>
      </w:r>
    </w:p>
    <w:p>
      <w:r>
        <w:t>Bundesverwaltungsgericht, 2014-09-24, DE</w:t>
      </w:r>
    </w:p>
    <w:p>
      <w:r>
        <w:rPr>
          <w:b/>
        </w:rPr>
        <w:t xml:space="preserve">Quelle: </w:t>
      </w:r>
      <w:r>
        <w:t>https://mcp.opencaselaw.ch/entscheid/bvger_E-4409_2014</w:t>
      </w:r>
    </w:p>
    <w:p>
      <w:r>
        <w:t>FR: TAF E-4409/2014 du 24 septembre 2014</w:t>
      </w:r>
    </w:p>
    <w:p>
      <w:r>
        <w:t>IT: TAF E-4409/2014 del 24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Abs. 1 und 108 Abs. 1 AsylG; Art. 48 Abs. 1 sowie Art. 52 Abs. 1 VwVG). Auf die Beschwerde ist einzutreten.</w:t>
      </w:r>
    </w:p>
    <w:p>
      <w:r>
        <w:rPr>
          <w:b/>
        </w:rPr>
        <w:t>E. 2</w:t>
      </w:r>
    </w:p>
    <w:p>
      <w:r>
        <w:t>Die Kognition des Bundesverwaltungsgerichts und die zulässigen Rügen richten sich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begründet die Ablehnung des Asylgesuches im Wesentlichen damit, dass die Vorbringen des Beschwerdeführers nicht als glaubhaft zu erachten seien, namentlich seien seine Aussagen widersprüchlich, vage und unlogisch.</w:t>
      </w:r>
    </w:p>
    <w:p>
      <w:r>
        <w:rPr>
          <w:b/>
        </w:rPr>
        <w:t>E. 5.2</w:t>
      </w:r>
    </w:p>
    <w:p>
      <w:r>
        <w:t>Das Bundesverwaltungsgericht kommt zum Schluss, dass die Vorinstanz die Verfolgungsvorbringen des Beschwerdeführers zu Recht als unglaubhaft beurteilt hat. So zeigt das BFM zutreffend auf, inwiefern die Aussagen des Beschwerdeführers in mehreren Punkten widersprüchlich ausgefallen und insgesamt den Eindruck vermitteln, es handle sich beim Erzählten nicht um tatsächlich erlebte Ereignisse. Namentlich ist etwa nicht nachvollziehbar, dass der Vater nach Angaben des Beschwerdeführers einerseits vom (...) ihres Dorfes an den iranischen Sicherheitsdienst verraten worden sei und derselbe (...) der Familie danach umgehend zur Flucht in den Irak verholfen habe, obwohl gemäss den Aussagen des Beschwerdeführers die ganze Familie und insbesondere auch der Beschwerdeführer den opponierenden Gruppen geholfen habe, etwa indem sie die Leute, welche auf dem Berg Hilfe brauchten, Tag und Nacht mit Essen und Trinken versorgt hätten bzw. der Beschwerdeführer sogar, indem er Briefe überbracht habe (vgl. A37/15 S. 5 f.). Die Erklärung, der (...) habe ihnen zeigen wollen, dass er mit dem Verrat des Vaters nichts zu tun habe, leuchtet nicht ein. Die Aussage dann, dass es im Iran immer so sei, dass die (...) mit dem Sicherheitsdienst zusammen arbeiteten, die Leute für sechs bis acht Jahre gestellt und danach umgebracht würden (vgl. A37/15 S. 7), erscheint darüber hinaus als rein stereotype und realitätsfremde Behauptung. Das BFM weist sodann zu Recht darauf hin, dass die Aussagen bezüglich den verschiedenen Akteuren, welche den Beschwerdeführer im Irak angeblich verfolgt hätten, widersprüchlich sind und die Behauptung des Beschwerdeführers, dass man im Norden des Iraks schiitische und sunnitische Gruppen nicht als solche nenne, sondern diese im Namen des Islams zusammen aufträten um gegen die Kurden zu arbeiten, aber auch dass die kurdische Komalay mit dem iranischen Sicherheitsdienst zusammenarbeite, als realitätsfremd zu erachten ist. Der Hinweis in der Beschwerde, es sei für den Beschwerdeführer schwierig, die verschiedenen im Irak aktiven Kräfte auseinanderzuhalten, da es ihm gesundheitlich nicht gut gehe und das "allenfalls sprunghafte und verwirrende Antwortverhalten" zeige, dass der Beschwerdeführer traumatisiert sei (vgl. Beschwerde vom 7. August 2014, S. 5), kann die tatsachenwidrigen Aussagen nicht erklären, zumal für eine solchermassen starke gesundheitliche Beeinträchtigung des Beschwerdeführers weder Hinweise in den Akten bestehen noch Belege vorliegen. Schliesslich ist nicht einzusehen, inwiefern dem Beschwerdeführer aufgrund des von ihm Vorgebrachten im Iran zum heutigen Zeitpunkt eine Verfolgung drohen sollte, lebt doch offenbar auch sein Bruder - ebenso der Sohn eines angeblichen Märtyrers wie der Beschwerdeführer ­- nun bereits seit mehreren Jahren wieder unbehelligt im Iran. Darüber hinaus gelangt das BFM ohnehin zu Recht zum Schluss, das Vorbringen betreffend den Foltertod des Vaters sei zu bezweifeln, wobei auf die entsprechende Erwägung in der angefochtenen Verfügung verwiesen werden kann (E. 2, S. 4). In der Rechtsmitteleingabe bleibt der Beschwerdeführer weitgehend bei seinen früheren Behauptungen, ohne die Unstimmigkeiten zu klären zu vermögen. Auch seine Hinweise auf aktuelle weltpolitische Geschehnisse, die mit der damaligen Situation des Beschwerdeführers keinen näheren Zusammenhang aufweisen, bewirken nichts zu seinen Gunsten. Insgesamt vermag er den Vorhalten des BFM nichts Substantielles entgegenzuhalten. Es erübrigt sich, auf weitere Unstimmigkeiten in den Vorbringen des Beschwerdeführers einzugehen, vielmehr kann ergänzend auf die zutreffenden und ausführlichen Erwägungen in der angefochtenen Verfügung verwiesen werden.</w:t>
      </w:r>
    </w:p>
    <w:p>
      <w:r>
        <w:rPr>
          <w:b/>
        </w:rPr>
        <w:t>E. 5.3</w:t>
      </w:r>
    </w:p>
    <w:p>
      <w:r>
        <w:t>Zusammenfassend ist es dem Beschwerdeführer nicht gelungen, seine Flüchtlingseigenschaft nachzuweisen oder glaubhaft zu machen. Das BFM hat sein Asylgesuch somit zu Recht abgelehnt.</w:t>
      </w:r>
    </w:p>
    <w:p>
      <w:r>
        <w:rPr>
          <w:b/>
        </w:rPr>
        <w:t>E. 6.1</w:t>
      </w:r>
    </w:p>
    <w:p>
      <w:r>
        <w:t>Lehnt das Bundesamt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10.1, mit weiteren Hinweisen).</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und der allgemeine Hinweis in der Beschwerde, die Kurden seien im Iran benachteiligt, lässt den Wegweisungsvollzug zum heutigen Zeitpunkt nicht als unzulässig erscheinen. Nach dem Gesagten ist der Vollzug der Wegweisung sowohl im Sinne der asyl- als auch der völkerrechtlichen Bestimmungen zulässig.</w:t>
      </w:r>
    </w:p>
    <w:p>
      <w:r>
        <w:rPr>
          <w:b/>
        </w:rPr>
        <w:t>E. 7.2.2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Im Iran ist im heutigen Zeitpunkt offensichtlich nicht von einer Situation allgemeiner Gewalt oder von kriegerischen oder bürgerkriegsähnlichen Verhältnissen gesprochen werden, welche für den Beschwerdeführer bei einer Rückkehr eine konkrete Gefährdung darstellen würde (vgl. die im Wesentlichen nach wie vor zutreffende Lagebeurteilung in BVGE 2009/28). In den Akten finden sich auch keine Anhaltspunkte dafür, dass der Beschwerdeführer aus individuellen Gründen wirtschaftlicher, sozialer oder gesundheitlicher Natur in eine existenzbedrohende Situation geraten würde, zumal es sich bei ihm um einen jungen Mann ohne aktenkundige gesundheitliche Probleme handelt, welcher eigenen Angaben zufolge während mehreren Jahren als (...) und (...) tätig war. Mit seiner Mutter, einem Bruder und drei Schwestern verfügt er im Heimatstaat darüber hinaus über ein verwandtschaftliches Beziehungsnetz. Sein Hinweis in der Beschwerde, er wisse nicht, wo sich seine Schwestern aufhielten, vermag daran nichts zu ändern. Insgesamt bestehen daher keine konkreten Anzeichen dafür, dass er bei einer Rückkehr in sein Heimatland in eine existenzielle Notlage geraten würde, weshalb der Vollzug der Wegweisung nicht als unzumutbar zu bezeichnen ist.</w:t>
      </w:r>
    </w:p>
    <w:p>
      <w:r>
        <w:rPr>
          <w:b/>
        </w:rPr>
        <w:t>E. 7.2.3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7.3</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grundsätzlich dem Beschwerdeführer aufzuerlegen (Art. 63 Abs. 1 VwVG) und auf insgesamt Fr. 600.- festzusetzen (Art. 1-3 des Reglements vom 21. Februar 2008 über die Kosten und Entschädigungen vor dem Bundesverwaltungsgericht [VGKE, SR 173.320.2]). Das Gesuch um Gewährung der unentgeltlichen Prozessführung gemäss Art. 65 Abs. 1 VwVG ist bereits infolge der nicht nachgewiesenen Bedürftigkeit abzuweisen. Darüber hinaus hat sich die Beschwerde mit dem vorliegenden Direktentscheid im Zeitpunkt ihrer Erhebung als aussichtslos erwiesen, weshalb die Verfahrenskosten vom Beschwerdeführer zu tragen sind. Aus der Abweisung des Gesuchs um Erlass der Verfahrenskosten, ergibt sich auch die Abweisung des Gesuchs um Gewährung der unentgeltlichen Rechtsvertretung (vgl. Art. 110a Abs. 1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