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E-4407/2013 vom 17. März 2014</w:t>
      </w:r>
    </w:p>
    <w:p>
      <w:r>
        <w:t>Bundesverwaltungsgericht, 2014-03-17, DE</w:t>
      </w:r>
    </w:p>
    <w:p>
      <w:r>
        <w:rPr>
          <w:b/>
        </w:rPr>
        <w:t xml:space="preserve">Quelle: </w:t>
      </w:r>
      <w:r>
        <w:t>https://mcp.opencaselaw.ch/entscheid/bvger_E-4407_2013</w:t>
      </w:r>
    </w:p>
    <w:p>
      <w:r>
        <w:t>FR: TAF E-4407/2013 du 17 mars 2014</w:t>
      </w:r>
    </w:p>
    <w:p>
      <w:r>
        <w:t>IT: TAF E-4407/2013 del 17 marzo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25. Juli 2013 zugrunde liegt, offensichtlich nicht vollständig festgestellt ist. Denn es besteht kein Zweifel, dass eine neue Lagebeurteilung vor Ort sich auf die konkrete Feststellung des rechtserheblichen Sachverhalts auswirken kann, welcher sodann allenfalls geeignet wäre, die Flüchtlingseigenschaft zu begründen oder für die Gewährung des vorübergehenden Schutzes relevant zu erscheinen.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w:t>
      </w:r>
    </w:p>
    <w:p>
      <w:r>
        <w:t>Die Beschwerde ist demnach gutzuheissen. Die angefochtene Verfügung ist aufzuheben und die Sache zur vollständigen Sachverhaltsfeststellung sowie zu neuer Entscheidung an die Vorinstanz zurückzuweisen. Die vor­instanzlichen Akten sowie eine Kopie der Beschwerdeschrift und der Replik (inklusive Beilagen), welche ebenfalls Prozessstoff des vorinstanzlichen Verfahrens bilden werden, werden dem BFM zugestellt. Auf die weiteren Vorbringen in der Beschwerde ist aufgrund der vorliegenden Kassation zum heutigen Zeitpunkt nicht näher einzugehen.</w:t>
      </w:r>
    </w:p>
    <w:p>
      <w:r>
        <w:rPr>
          <w:b/>
        </w:rPr>
        <w:t>E. 4.1</w:t>
      </w:r>
    </w:p>
    <w:p>
      <w:r>
        <w:t>Bei diesem Ausgang des Verfahrens sind keine Kosten zu erheben (Art. 63 Abs. 1 und 2 VwVG). Die Gesuche um unentgeltliche Prozessführung und Verbeiständung werden mit vorliegendem Entscheid somit gegenstandslos.</w:t>
      </w:r>
    </w:p>
    <w:p>
      <w:r>
        <w:rPr>
          <w:b/>
        </w:rPr>
        <w:t>E. 4.2</w:t>
      </w:r>
    </w:p>
    <w:p>
      <w:r>
        <w:t>Dem professionell vertretenen Beschwerdeführer ist angesichts sei­nes Obsiegens zulasten der Vorinstanz eine Entschädigung für die ihm notwendigerweise erwachsenen Parteikosten zuzusprechen (Art. 64 VwVG und Art. 7 Abs. 1 des Reglements vom 21. Februar 2008 über die Kosten und Entschädigungen vor dem Bundesverwaltungsgericht [VGKE, SR 173.320.2]).</w:t>
      </w:r>
    </w:p>
    <w:p>
      <w:r>
        <w:rPr>
          <w:b/>
        </w:rPr>
        <w:t>E. 4.3</w:t>
      </w:r>
    </w:p>
    <w:p>
      <w:r>
        <w:t>Der notwendige Vertretungsaufwand der Rechtsvertreterin, welche keine Kostennote zu den Akten gereicht hat, lässt sich aufgrund der Ak­tenlage hinreichend zuverlässig abschätzen, zumal die Beschwerdebe­gründung über weite Stellen und manche der auf Beschwerdeebene ein­gereichten Beweismittel (insbesondere Länderberichte) keinen individuel­len Bezug zum Beschwerdeführer aufweisen und für das Beschwerdever­fahren nur mittelbare Aussagekraft haben, weshalb unter Berücksichti­gung der massgebenden Bemessungsfaktoren (Art. 9-13 VGKE) das BFM dem Beschwerdeführer eine Parteientschädigung von insgesamt Fr. 1800.- (inkl. Auslagen und Mehrwertsteueranteil) zu entrichten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