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E-4405/2023 vom 8. Dezember 2025</w:t>
      </w:r>
    </w:p>
    <w:p>
      <w:r>
        <w:t>Bundesverwaltungsgericht, 2025-12-08, DE</w:t>
      </w:r>
    </w:p>
    <w:p>
      <w:r>
        <w:rPr>
          <w:b/>
        </w:rPr>
        <w:t xml:space="preserve">Quelle: </w:t>
      </w:r>
      <w:r>
        <w:t>https://mcp.opencaselaw.ch/entscheid/bvger_E-4405_2023</w:t>
      </w:r>
    </w:p>
    <w:p>
      <w:r>
        <w:t>FR: TAF E-4405/2023 du 8 décembre 2025</w:t>
      </w:r>
    </w:p>
    <w:p>
      <w:r>
        <w:t>IT: TAF E-4405/2023 del 8 dicembre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(SR 142.31) durch das SEM erlassen worden sind, entscheidet das Bundesverwaltungsgericht – in der Regel und auch vorliegend –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 unter Vorbehalt von E. 4 – einzutreten (Art. 105</w:t>
      </w:r>
    </w:p>
    <w:p>
      <w:r>
        <w:t>E-4405/2023 Seite 5 und Art. 108 Abs. 1 AsylG i.V.m. Art. 10 Covid-19-Verordnung Asyl vom 20. April 2020 [SR 142.318]; Art. 37 VGG i.V.m. Art. 48 Abs. 1 und Art. 52 Abs. 1 VwVG).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w:t>
      </w:r>
    </w:p>
    <w:p>
      <w:r>
        <w:rPr>
          <w:b/>
        </w:rPr>
        <w:t>E. 4</w:t>
      </w:r>
    </w:p>
    <w:p>
      <w:r>
        <w:t>Die Beschwerdeeingabe richtet sich ausschliesslich gegen die Ziffern 1–3 der SEM-Verfügung vom 14. Juli 2023 (Feststellung des SEM, der Be- schwerdeführer erfülle die Flüchtlingseigenschaft nicht, die Ablehnung des Asylgesuchs sowie die Anordnung der Wegweisung als solche). Der Be- schwerdeführer wurde vom SEM wegen der Unzumutbarkeit des Wegwei- sungsvollzuges vorläufig aufgenommen (vgl. Dispositivziffer 4). Die Frage des Vollzugs der Wegweisung bildet damit nicht Gegenstand des Be- schwerdeverfahrens. Aufgrund der angeordneten vorläufigen Aufnahme stellt sich auch die Frage nach dem Vorliegen von anderen Vollzugshinder- nissen – Unzulässigkeit oder Unmöglichkeit – im vorliegenden Fall nicht. Die Wegweisungsvollzugshindernisse sind alternativer Natur; ist eines er- füllt, gilt der Vollzug der Wegweisung als undurchführbar (vgl. BVGE 2011/7 E. 8; 2009/51 E. 5.4). Bei dieser Sachlage ist auf das Beschwerde- begehren 4 mangels Rechtsschutzinteresses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E-4405/2023 Seite 6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w:t>
      </w:r>
    </w:p>
    <w:p>
      <w:r>
        <w:t>E-4405/2023 Seite 7 Gefährdungslage im Moment des Asylentscheides abgestellt, wenn sich die Lage im Heimatstaat zwischen Ausreise und Asylentscheid massge- 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 soweit auf diese einzutreten ist (vgl. E. 4) - in Bezug auf den Antrag, die Verfügung der Vorinstanz sei in den Dispositivziffern 1 bis 3 gutzuheissen. Das SEM ist aufzufordern, die erforderlichen Massnahmen durchzuführen und gestützt auf die entsprechenden Erkenntnisse sowie unter Berücksichtigung der auf Beschwerdeebene vorgetragenen Argumentation (vgl. oben Bst. H) das Asylgesuch des Beschwerdeführers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Im Übrigen bleibt auf diese Weise der Instanzenzug erhalten, was umso wesentlicher ist, als das Bundesverwaltungsgericht im Anwendungs- bereich des AsylG als einzige gerichtliche Behörde und mithin letztinstanz- lich entscheidet (vgl. zum Ganzen auch Urteil des BVGer D-7647/2024 vom 9. Juli 2025 E. 6). 7. Nach dem Gesagten ist die Beschwerde – soweit auf diese einzutreten ist (vgl. E. 4) – in Bezug auf den Antrag, die Verfügung der Vorinstanz sei in den Dispositivziffern 1 bis 3 gutzuheissen. Das SEM ist aufzufordern, die erforderlichen Massnahmen durchzuführen und gestützt auf die</w:t>
      </w:r>
    </w:p>
    <w:p>
      <w:r>
        <w:t>E-4405/2023 Seite 8 entsprechenden Erkenntnisse sowie unter Berücksichtigung der auf Be- schwerdeebene vorgetragenen Argumentation (vgl. oben Bst. H) das Asyl- gesuch des Beschwerdeführers erneut zu prüfen.</w:t>
      </w:r>
    </w:p>
    <w:p>
      <w:r>
        <w:rPr>
          <w:b/>
        </w:rPr>
        <w:t>E. 8.1</w:t>
      </w:r>
    </w:p>
    <w:p>
      <w:r>
        <w:t>Bei diesem Ausgang des Verfahrens sind keine Kosten zu erheben (Art. 63 Abs. 3 VwVG i.V.m. Art. 37 VGG).</w:t>
      </w:r>
    </w:p>
    <w:p>
      <w:r>
        <w:rPr>
          <w:b/>
        </w:rPr>
        <w:t>E. 8.2</w:t>
      </w:r>
    </w:p>
    <w:p>
      <w:r>
        <w:t>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ausserdem Art. 7 ff. des Reglements über die Kosten und Entschädigungen vor dem Bundes- verwaltungsgericht vom 21. Februar 2008 [VGKE, SR 173.320.2]). Der Rechtsvertreter hat am 3. September 2023 eine Kostennote zu den Akten gereicht, welche einen Arbeitsaufwand von 5.7 Stunden aufweist, was als angemessen erscheint. Der geltend gemachte Stundenansatz von Fr. 300.– liegt im Rahmen von Art. 10 Abs. 2 VGKE und auch die Auslagen von Fr. 16.55 erscheinen angemessen. Gestützt auf die weiter in Betracht zu ziehenden Bemessungsfaktoren (Art. 9‒13 VGKE) ist die von der Vorinstanz auszurichtende Parteientschädi- gung demnach auf Fr.1'860.– (inkl. Mehrwertsteuer und Auslagen) festzu- setzen. (Dispositiv nächste Seite)</w:t>
      </w:r>
    </w:p>
    <w:p>
      <w:r>
        <w:t>E-4405/2023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