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E-4405/2014 vom 17. März 2015</w:t>
      </w:r>
    </w:p>
    <w:p>
      <w:r>
        <w:t>Bundesverwaltungsgericht, 2015-03-17, DE</w:t>
      </w:r>
    </w:p>
    <w:p>
      <w:r>
        <w:rPr>
          <w:b/>
        </w:rPr>
        <w:t xml:space="preserve">Quelle: </w:t>
      </w:r>
      <w:r>
        <w:t>https://mcp.opencaselaw.ch/entscheid/bvger_E-4405_2014</w:t>
      </w:r>
    </w:p>
    <w:p>
      <w:r>
        <w:t>FR: TAF E-4405/2014 du 17 mars 2015</w:t>
      </w:r>
    </w:p>
    <w:p>
      <w:r>
        <w:t>IT: TAF E-4405/2014 del 17 marzo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praxisgemäss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Sie sind daher zur Einreichung der Beschwerde legitimiert (Art. 105 und 108 Abs. 1 AsylG; Art. 48 Abs. 1 sowie Art. 52 Abs. 1 VwVG).</w:t>
      </w:r>
    </w:p>
    <w:p>
      <w:r>
        <w:rPr>
          <w:b/>
        </w:rPr>
        <w:t>E. 1.3</w:t>
      </w:r>
    </w:p>
    <w:p>
      <w:r>
        <w:t>Auf die Beschwerde ist einzutreten.</w:t>
      </w:r>
    </w:p>
    <w:p>
      <w:r>
        <w:rPr>
          <w:b/>
        </w:rPr>
        <w:t>E. 2</w:t>
      </w:r>
    </w:p>
    <w:p>
      <w:r>
        <w:t>Im Asylbereich kann mit Beschwerde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Angesichts einer kürzlich erfolgten Koordination der Praxis der Asylabteilungen des Bundesverwaltungsgerichts (vgl. hierzu die nachfolgenden E. 6.2-6.5) erweist sich die Beschwerde nunmehr als offensichtlich begründet. Aus diesem Grund ist der Beschwerdeentscheid nur summarisch zu begründen (Art. 111a Abs. 2 AsylG).</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nach Lehre und Praxis die Änderung einer ursprünglich fehlerfreien Verfügung an eine nachträglich eingetretene erhebliche Veränderung der Sachlage (vgl. bereits Entscheidungen und Mitteilungen der Schweizerischen Asylrekurskommission [EMARK] 1995 Nr. 21 E. 1 S. 202 ff.).</w:t>
      </w:r>
    </w:p>
    <w:p>
      <w:r>
        <w:rPr>
          <w:b/>
        </w:rPr>
        <w:t>E. 5.1</w:t>
      </w:r>
    </w:p>
    <w:p>
      <w:r>
        <w:t>Das Wiedererwägungsgesuch vom 22. Mai 2014 war im Wesentlichen mit den folgenden neuen Tatsachen begründet worden: Mit einer Verschlechterung des Gesundheitszustands der Beschwerdeführerin (Mutter), mit einer Verschlechterung des Gesundheitszustands des Beschwerdeführers (Sohn) und mit einem ausgeprägten gegenseitigen Abhängigkeits­verhältnis der Beschwerdeführerin zu ihrem Lebenspartner, der sich als Asylsuchender in der Schweiz aufhält (Verfahren N [...]).</w:t>
      </w:r>
    </w:p>
    <w:p>
      <w:r>
        <w:rPr>
          <w:b/>
        </w:rPr>
        <w:t>E. 5.2</w:t>
      </w:r>
    </w:p>
    <w:p>
      <w:r>
        <w:t>In der angefochtenen Verfügung vom 7. Juli 2014 führte das SEM im Wesentlichen aus, die gesundheitliche Situation der Beschwerdeführerin sei bereits in früheren Verfahren thematisiert und geprüft worden; es gebe keinen Grund zur Annahme, dass ihr die notwendige Behandlung respektive Weiterbehandlung in Italien verwehrt würde; Italien habe sich völkerrechtlich zur Betreuung und medizinischen Versorgung von Asylsuchenden verpflichtet und verfüge auch über die hierfür notwendige Infrastruktur.</w:t>
      </w:r>
    </w:p>
    <w:p>
      <w:r>
        <w:rPr>
          <w:b/>
        </w:rPr>
        <w:t>E. 6.1.1</w:t>
      </w:r>
    </w:p>
    <w:p>
      <w:r>
        <w:t>In seinem Urteil Tarakhel gegen die Schweiz vom 4. November 2014 (Verfahrensnummer 29217/14, Grosse Kammer) wies der EGMR erstens darauf hin, dass die Schweiz gemäss der Souveränitätsklausel der Dublin-Verordnung berechtigt sei, auf einen Asylantrag einzutreten und das Asylverfahren selber durchzuführen. Dementsprechend könne nicht behauptet werden, die Schweiz sei aufgrund einer internationalen Vereinbarung zu einer Rückführung in einen anderen Mitgliedstaat verpflichtet. Angesichts dieser Tatsache habe die Schweiz die Verantwortung aus Art. 3 der Konvention vom 4. November 1950 zum Schutze der Menschenrechte und Grundfreiheiten (EMRK, SR 0.101) zu tragen.</w:t>
      </w:r>
    </w:p>
    <w:p>
      <w:r>
        <w:rPr>
          <w:b/>
        </w:rPr>
        <w:t>E. 6.1.2</w:t>
      </w:r>
    </w:p>
    <w:p>
      <w:r>
        <w:t>Der Gerichtshof stellte zweitens bezüglich Italien keine systemischen Mängel (im Sinn von Art. 3 Abs. 2 Dublin-III-VO) fest. Die heutige Lage Italiens sei nicht mit derjenigen von Griechenland (vgl. Urteil M.S.S. gegen Belgien und Griechenland [Verfahrensnummer 30696/09, Grosse Kammer] vom 21. Januar 2011) vergleichbar. Die Struktur und der allgemeine Zustand der Aufnahmebedingungen in Italien würden noch kein grundsätzliches Hindernis für Rückschiebungen in dieses Land darstellen, auch wenn Zweifel hinsichtlich der Kapazitäten nicht ausgeschlossen werden könnten (vgl. Urteil Tarakhel, a.a.O., § 114 f. und § 120).</w:t>
      </w:r>
    </w:p>
    <w:p>
      <w:r>
        <w:rPr>
          <w:b/>
        </w:rPr>
        <w:t>E. 6.1.3</w:t>
      </w:r>
    </w:p>
    <w:p>
      <w:r>
        <w:t>Der EGMR rief drittens in Erinnerung, dass die Anwendbarkeit von Art. 3 EMRK ein gewisses Mindestmass an Schwere voraussetze, welche jedoch relativ sei und von den Umständen des Einzelfalls abhänge. Als besonders benachteiligte und verletzliche Gruppe (catégorie de la population "particulièrement défavorisée et vulnérable") würden Asylsuchende einen speziellen Schutz benötigen (vgl. a.a.O., § 118), welcher umso wichtiger werde, wenn es sich dabei - angesichts ihrer speziellen Bedürfnisse und ihrer Verletzlichkeit ("eu égard à leurs besoins particuliers et à leur extrême vulnérabilité") - um Kinder handle (vgl. a.a.O., § 119).</w:t>
      </w:r>
    </w:p>
    <w:p>
      <w:r>
        <w:rPr>
          <w:b/>
        </w:rPr>
        <w:t>E. 6.1.4</w:t>
      </w:r>
    </w:p>
    <w:p>
      <w:r>
        <w:t>Angesichts der bestehenden Zweifel an den ausreichenden aktuellen Kapazitäten der italienischen Aufnahmestrukturen bestehe viertens eine gewisse Wahrscheinlichkeit, dass Dublin-Rückkehrer in Italien keine oder nur eine überfüllte Unterkunft vorfinden würden, wo keinerlei Privatsphäre, wenn nicht gar gesundheitsgefährdende und gewaltgeprägte Bedingungen herrschten (vgl. a.a.O., § 115). Daraus folge, dass es eine Verletzung von Art. 3 EMRK darstellen würde, wenn die Schweizer Behörden eine Überstellung von Familien mit Kindern nach Italien vornähmen, ohne zuvor von den italienischen Behörden eine individuelle Garantie zu erhalten, dass für eine kindgerechte Unterbringung gesorgt sei und die Einheit der Familie gewahrt werde (vgl. a.a.O., § 121 f.).</w:t>
      </w:r>
    </w:p>
    <w:p>
      <w:r>
        <w:rPr>
          <w:b/>
        </w:rPr>
        <w:t>E. 6.2</w:t>
      </w:r>
    </w:p>
    <w:p>
      <w:r>
        <w:t>Das BFM stellt sich auf den Standpunkt, die fraglichen individuellen Garantien seien erst im Zeitpunkt des Vollzugs der Überstellung nach Italien einzuholen; es handle sich um blosse Überstellungsmodalitäten und nicht um Voraussetzungen, die bereits vor Erlass des Nichteintretensentscheids und der Anordnung der Überstellung vorliegen müssten, zumal auch praktische Überlegungen für ein solches Vorgehen sprechen würden, könne doch zwischen rechtskräftigem Erlass der Überstellungsanordnung und dem effektiven Moment der Überstellung geraume Zeit verstreichen.</w:t>
      </w:r>
    </w:p>
    <w:p>
      <w:r>
        <w:rPr>
          <w:b/>
        </w:rPr>
        <w:t>E. 6.3</w:t>
      </w:r>
    </w:p>
    <w:p>
      <w:r>
        <w:t>Das Gericht teilt diese Betrachtungsweise nicht, wie es kürzlich in einen Grundsatzurteil festgehalten hat: Das Vorliegen der von den italienischen Behörden einzuholenden Garantien einer kindgerechten und die Einheit der Familie respektierenden Unterbringung ist nicht eine blosse Überstellungsmodalität, sondern stellt gemäss dem zitierten Entscheid des EGMR eine Voraussetzung der völkerrechtlichen Zulässigkeit der Anordnung einer Überstellung nach Italien dar. Als solche muss sie einer Überprüfung durch das Gericht offenstehen. Dass das Gericht die Zulässigkeit einer Überstellung im Licht von Art. 3 EMRK lediglich im Sinne einer Prüfung "unter Bedingungen" (nämlich unter der Bedingung künftiger Modalitäten des Vollzugs) kontrollieren könnte, entspricht nicht der Konzeption des Gesetzgebers. Da eine gerichtliche Überprüfung von Vollzugsmodalitäten nach Vorliegen eines rechtskräftigen Überstellungsentscheids nicht mehr vorgesehen ist, muss die Überprüfungsmöglichkeit im ordentlichen Beschwerdeverfahren bestehen, und es müssen demnach die im Sinne des Entscheids des EGMR erforderlichen konkreten individuellen Garantien im ordentlichen Verfahren - und nicht erst im Vollzugsstadium - vorliegen. Blosse generelle Absichtserklärungen können nicht ausreichen; entsprechend den Voraussetzungen, wie sie im Urteil Tarakhel genannt sind, muss im Zeitpunkt der Verfügung des SEM eine konkrete und individuelle Zusicherung vorliegen, mit welcher namentlich garantiert wird, dass eine dem Alter des Kindes entsprechende Unterkunft bei der Ankunft der Familie in Italien zur Verfügung steht und dass diese bei der Unterbringung nicht getrennt wird (vgl. zum Ganzen das Grundsatzurteil Urteil E-6629/2014 vom 12. März 2015, zur Publikation vorgesehen).</w:t>
      </w:r>
    </w:p>
    <w:p>
      <w:r>
        <w:rPr>
          <w:b/>
        </w:rPr>
        <w:t>E. 6.4</w:t>
      </w:r>
    </w:p>
    <w:p>
      <w:r>
        <w:t>Im vorliegenden Verfahren finden sich entsprechende individuelle Garantien nicht bei den Akten; solche sind auch im Rahmen des Vernehmlassungsverfahrens nicht eingeholt und dem Gericht vorgelegt worden. Der entscheidrelevante Sachverhalt im Hinblick auf die Frage, ob eine Überstellung nach Italien völkerrechtskonform im Sinne von Art. 3 EMRK sei, ist demnach nicht rechtsgenüglich erstellt.</w:t>
      </w:r>
    </w:p>
    <w:p>
      <w:r>
        <w:rPr>
          <w:b/>
        </w:rPr>
        <w:t>E. 6.5</w:t>
      </w:r>
    </w:p>
    <w:p>
      <w:r>
        <w:t>Die angefochtene Verfügung vom 7. Juli 2014 ist daher aufzuheben, und das Verfahren ist zwecks Vornahme der erforderlichen Abklärungen an die Vorinstanz zurückzuweisen. Das BFM ist anzuweisen, den rechtserheblichen Sachverhalt im Sinne der Erwägungen ergänzend zu erstellen und in der Folge neu zu verfügen. Auf die weiteren Vorbringen in der Rechtsmitteleingabe ist aufgrund der vorliegenden Kassation zum heutigen Zeitpunkt nicht näher einzugehen.</w:t>
      </w:r>
    </w:p>
    <w:p>
      <w:r>
        <w:rPr>
          <w:b/>
        </w:rPr>
        <w:t>E. 7.1</w:t>
      </w:r>
    </w:p>
    <w:p>
      <w:r>
        <w:t>Bei diesem Ausgang des Verfahrens sind keine Kosten zu erheben (Art. 63 Abs. 1 und 2 VwVG). Überdies war das Gesuch der Beschwerdeführenden um Gewährung der unentgeltlichen Prozessführung (Art. 65 Abs. 1 VwVG) vom Instruktionsrichter gutgeheissen worden.</w:t>
      </w:r>
    </w:p>
    <w:p>
      <w:r>
        <w:rPr>
          <w:b/>
        </w:rPr>
        <w:t>E. 7.2</w:t>
      </w:r>
    </w:p>
    <w:p>
      <w:r>
        <w:t>Den vertretenen Beschwerdeführenden ist angesichts des Obsiegens in Anwendung von Art. 64 VwVG und Art. 7 des Reglements vom 21. Februar 2008 über die Kosten und Entschädigungen vor dem Bundesverwaltungsgericht (VGKE, SR 173.320.2) eine Entschädigung für die ihnen notwendigerweise erwachsenen Parteikosten zuzusprechen. Nachdem keine Kostennote zu den Akten gereicht wurde, sind die notwendigen Parteikosten gemäss Art. 14 Abs. 2 VGKE aufgrund der Akten zu bestimmen; angesichts des klaren Wortlauts dieser Bestimmung besteht auch keine Veranlassung für die eventualiter beantragten weiteren Instruktionshandlungen (vgl. Beschwerde S. 19). Die von der Vorinstanz auszurichtende Parteientschädigung wird in Anwendung der genannten Bestimmung und unter Berücksichtigung der massgeblichen Bemessungsfaktoren demnach von Amtes wegen auf insgesamt Fr. 1500.- (inkl. Auslagen und Mehrwertsteuer)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