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E-4405/2006 vom 18. Januar 2010</w:t>
      </w:r>
    </w:p>
    <w:p>
      <w:r>
        <w:t>Bundesverwaltungsgericht, 2010-01-18, DE</w:t>
      </w:r>
    </w:p>
    <w:p>
      <w:r>
        <w:rPr>
          <w:b/>
        </w:rPr>
        <w:t xml:space="preserve">Quelle: </w:t>
      </w:r>
      <w:r>
        <w:t>https://mcp.opencaselaw.ch/entscheid/bvger_E-4405_2006</w:t>
      </w:r>
    </w:p>
    <w:p>
      <w:r>
        <w:t>FR: TAF E-4405/2006 du 18 janvier 2010</w:t>
      </w:r>
    </w:p>
    <w:p>
      <w:r>
        <w:t>IT: TAF E-4405/2006 del 18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der angefochtenen Verfügung aus, der Beschwerdeführer habe widersprüchliche Angaben zu seinen angeblichen oppositionellen Aktivitäten gemacht. So habe er bei der Empfangsstelle ausgesagt, er sei für die TIKKO aktiv gewesen, indessen anlässlich der kantonalen Befragung ausgeführt, sich für die TKP/ML engagiert zu haben. Diese Organisationen seien jedoch nicht identisch. Zudem habe er divergierende Angaben zum Zeitpunkt und der Dauer der dritten Festnahme sowie zum Vorgehen der Polizei bei diesem Vorfall gemacht. Seine Aussage bei der ersten Befragung, die dritte, dreitägige Festnahme sei die längste gewesen, sei nicht zu vereinbaren mit den Angaben bei der kantonalen Befragung, auch die zweite und vierte Festnahme hätten drei Tage gedauert. Im Weiteren habe der Beschwerdeführer tatsachenwidrige Angaben zur TIKKO und TKP/ML und deren Verhältnis zueinander gemacht. Unrichtig sei auch seine Angabe, die TKP/ML sei eine legale Partei. Zudem habe er bloss vage Angaben zum Ziel dieser Organisationen zu machen vermocht. Schliesslich sei davon auszugehen, dass der Beschwerdeführer, falls er wegen Tätigkeiten für die genannten Organisationen festgenommen worden wäre, nicht ohne Weiteres wieder freigelassen worden wäre, sondern vielmehr ein Verfahren gegen ihn eingeleitet worden wäre, zumal er nach seinen Schilderungen mehrmals in flagranti erwischt worden sei. Zudem hätte er sich im Falle derartiger Aktivitäten nicht im Oktober 2003 legal einen Pass ausstellen lassen können.</w:t>
      </w:r>
    </w:p>
    <w:p>
      <w:r>
        <w:rPr>
          <w:b/>
        </w:rPr>
        <w:t>E. 4.2.1</w:t>
      </w:r>
    </w:p>
    <w:p>
      <w:r>
        <w:t>Nach Prüfung der Aktenlage und der Vorbringen des Beschwerdeführers gelangt das Gericht zum Schluss, dass die Einschätzung der Vorinstanz im Ergebnis zu bestätigen ist. Zwar ist den Aussagen des Beschwerdeführers zu entnehmen, dass er über gewisse Grundkenntnisse des Aufbaus und der Organisation der TKP/ML und ihrer Unterorganisationen und Abspaltungen verfügt. Indessen vermochte er nur äusserst vage Angaben zur Ideologie und den Zielen dieser Partei zu machen. Ebenso konnte er nicht nachvollziehbar erklären, aus welchem Grund er sich entschloss, für diese aktiv zu werden. Auch unter Berücksichtigung seiner Darstellung, dass er kein Mitglied, sondern nur Sympathisant der TKP/ML gewesen sei und sich erst seit verhältnismässig kurzer Zeit für diese engagiert habe, wäre zu erwarten, dass er über fundiertere Kenntnisse über diese Partei verfügt, zumal seine angeblichen Tätigkeiten für diese ein erhebliches Risiko für ihn bedeutet hätten. Zu Recht hat das BFM festgestellt, dass es sich bei der TKP/ML entgegen der Aussage des Beschwerdeführers um eine in der Türkei verbotene Partei handelt. Dass dies dem Beschwerdeführer trotz seines angeblichen Engagements für diese Partei nicht bekannt ist, ist nicht nachvollziehbar. Eine Festnahme im Besitze von Plakaten beziehungsweise Zeitschriften der TKP/ML, welche ohne Weiteres den Vorwurf der Aktivitäten für eine illegale Partei zu belegen vermocht hätten, hätte nach Erkenntnissen des Bundesverwaltungsgerichts die Einleitung eines Gerichtsverfahrens gegen den Beschwerdeführer zur Folge gehabt. Dessen Darstellung, er sei jeweils nach einigen Tagen oder Stunden ohne weitere Auflagen freigelassen worden, obwohl er einmal dem Staatsanwalt vorgeführt worden sei, muss demnach als unglaubhaft bezeichnet werden. Schliesslich ist der Vorhalt in der angefochtenen Verfügung, der Beschwerdeführer habe erheblich divergierende Angaben gemacht zur Dauer der dritten Inhaftierung sowie zu dem, was ihm während dieser Haftzeit geschehen sei, zu bestätigen. Nach dem Gesagten sind die Asylvorbringen des Beschwerdeführers mit erheblichen Ungereimtheiten behaftet, und es ist ihnen daher die Glaubhaftigkeit abzusprechen.</w:t>
      </w:r>
    </w:p>
    <w:p>
      <w:r>
        <w:rPr>
          <w:b/>
        </w:rPr>
        <w:t>E. 4.2.2</w:t>
      </w:r>
    </w:p>
    <w:p>
      <w:r>
        <w:t>Die Einwände des Beschwerdeführers auf Beschwerdeebene sind nicht geeignet, die festgestellten Unglaubhaftigkeitselemente auszuräumen und zu einer anderen Einschätzung zu führen. Der Beschwerdeführer hat bei beiden Befragungen klare Angaben zu den Umständen der vorgebrachten dritten Inhaftierung gemacht, welche jedoch offenkundige Widersprüche enthalten. Da diesbezüglich keine Unklarheiten ersichtlich sind, welche einer vertiefteren Abklärung bedürften, ist der Antrag auf eine weitere Befragung zu diesem Punkt abzulehnen. Die Feststellungen der Vorinstanz zur TKP/ML beziehungsweise der TIKKO einerseits und zum zu erwartenden Vorgehen der türkischen Behörden andererseits beruhen auf dem Wissen der Asylbehörden zur generellen Situation im Herkunftsland des Beschwerdeführers. Dieses Amtswissen, dessen Quellen verschiedener Art sein können wie beispielsweise Dienstreisen, Fachliteratur, Dokumentationen und Medienberichte, unterliegt als solches nicht den Bestimmungen über die Akteneinsicht und das rechtliche Gehör.</w:t>
      </w:r>
    </w:p>
    <w:p>
      <w:r>
        <w:rPr>
          <w:b/>
        </w:rPr>
        <w:t>E. 4.3</w:t>
      </w:r>
    </w:p>
    <w:p>
      <w:r>
        <w:t>Zusammenfassend ist festzuhalten, dass es dem Beschwerdeführer nicht gelungen ist, eine asylrelevante Verfolgungsgefahr nachzuweisen oder glaubhaft darzutun. Es erübrigt sich, auf weitere Ausführungen in der Beschwerde einzugehen, da diese am Ergebnis nichts zu ändern vermögen. Somit hat die Vorinstanz zu Recht das Asylgesuch des Beschwerdeführers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über die Ausländerinnen und Ausländer vom 16. Dezember 2005 [AuG; SR 142.20]). Dem Beschwerdeführer wurde aufgrund seiner Heirat mit einer in der Schweiz niedergelassenen Landsfrau eine Aufenthaltsbewilligung erteilt, über welche er nach wie vor verfügt. Die Anordnungen der Vorinstanz betreffend Wegweisung und Vollzug derselben (Ziffern 3 - 5 des Dispositivs der Verfügung vom 29. Juli 2005) sind als dahingefallen zu betrachten, da diese gegenüber dem nachträglich erteilten Aufenthaltstitel keinen Bestand haben können (vgl. Entscheidungen und Mitteilungen der Schweizerischen Asylrekurskommission [EMARK] 2001 Nr. 21 E. 11c S. 178; EMARK 2000 Nr. 30 E. 4 S. 251). Die Beschwerde ist demnach als gegenstandslos geworden abzuschreiben, soweit im Eventualantrag die Gewährung der vorläufigen Aufnahme beantragt wird.</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Wird das Verfahren ohne Zutun der Parteien gegenstandslos, sind die Kosten auf Grund der Sachlage vor Eintritt des Erledigungsgrundes festzulegen (Art. 5 zweiter Satz des des Reglements vom 21. Februar 2008 über die Kosten und Entschädigungen vor dem Bundesverwaltungsgericht [VGKE, SR 173.320.2]). Im konkreten Fall ist nicht davon auszugehen, dass der Beschwerdeführer im Beschwerdeverfahren obsiegt hätte, soweit die Feststellung der Unzulässigkeit und Unzumutbarkeit des Wegweisungsvollzugs und der Verzicht auf den Wegweisungsvollzug beantragt wird, nachdem angesichts der obenstehenden Ausführungen nicht davon auszugehen ist, dass ihm eine völkerrechtswidrige Bestrafung oder Behandlung droht, er im Heimatstaat über ein tragfähiges Familiennetz verfügt und keine gesundheitlichen Probleme aktenkundig sind. Demzufolge wären dem Beschwerdeführer die gesamten Verfahrenskosten in der Höhe von Fr. 600.- aufzuerlegen. Da indessen mit Zwischenverfügung der ARK vom 16. September 2005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