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E-4400/2022 vom 15. September 2022</w:t>
      </w:r>
    </w:p>
    <w:p>
      <w:r>
        <w:t>Bundesverwaltungsgericht, 2022-09-15, DE</w:t>
      </w:r>
    </w:p>
    <w:p>
      <w:r>
        <w:rPr>
          <w:b/>
        </w:rPr>
        <w:t xml:space="preserve">Quelle: </w:t>
      </w:r>
      <w:r>
        <w:t>https://mcp.opencaselaw.ch/entscheid/bvger_E-4400_2022_d20220915</w:t>
      </w:r>
    </w:p>
    <w:p>
      <w:r>
        <w:t>FR: TAF E-4400/2022 du 15 septembre 2022</w:t>
      </w:r>
    </w:p>
    <w:p>
      <w:r>
        <w:t>IT: TAF E-4400/2022 del 15 settembre 2022</w:t>
      </w:r>
    </w:p>
    <w:p>
      <w:pPr>
        <w:pStyle w:val="Heading2"/>
      </w:pPr>
      <w:r>
        <w:t>Regeste</w:t>
      </w:r>
    </w:p>
    <w:p>
      <w:r>
        <w:t>Datenschutz | Datenschutz; Verfügung des SEM vom 15. September 2022</w:t>
      </w:r>
    </w:p>
    <w:p>
      <w:pPr>
        <w:pStyle w:val="Heading2"/>
      </w:pPr>
      <w:r>
        <w:t>Erwägungen</w:t>
      </w:r>
    </w:p>
    <w:p>
      <w:r>
        <w:rPr>
          <w:b/>
        </w:rPr>
        <w:t>E. 4</w:t>
      </w:r>
    </w:p>
    <w:p>
      <w:r>
        <w:t>DSG; auch Art. 19 Abs. 1 der Verordnung über das Zentrale Migrationsin- 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im Rahmen eines Berichtigungsverfahrens betreffend Einträge mit Bestreitungsvermerk die Frage im Zentrum steht, welche der umstrittenen Personenangaben die wahrscheinlicheren sind (vgl. statt vieler: Urteil des BVGer E-3182/2021 vom 6. Oktober 2022 E. 4.4 m.w.H.), dass die Vorinstanz die von ihr vorgenommene Änderung unter anderem damit begründet, der Beschwerdeführer habe inkonsistente Angaben zu seinem Alter gemacht, die von ihm eingereichten Unterlagen zu seinem</w:t>
      </w:r>
    </w:p>
    <w:p>
      <w:r>
        <w:t>E-4400/2022 Seite 5 Alter würden keine verlässlichen Sicherheitsmerkmale aufweisen und das erstellte Altersgutachten widerspreche seinen Altersangaben, dass der Vorinstanz darin beizupflichten ist, dass der Beschwerdeführer anlässlich der Erstbefragung bisweilen ungenaue Angaben in Bezug auf sein Alter – unter anderem auch im Zusammenhang mit dem Ausstellungs- zeitpunkt der Tazkera – machte und dass er dies in der Rechtsmittelein- gabe – insbesondere dem Hinweis auf Verständigungsprobleme – nicht überzeugend auszuräumen vermag, dass der Beschwerdeführer – namentlich mit dem Hinweis darauf, er sei von der Vorinstanz aufgefordert worden, seine Tazkera einzureichen – nicht nachvollziehbar darlegen kann, er sei von der Vorinstanz ungebühr- lich unter Druck gesetzt worden, weshalb er auch gestützt auf dieses Vor- bringen nichts zu seinen Gunsten abzuleiten vermag, dass dies auch auf die nicht näher substantiierte Rüge, die Vorinstanz habe ihre Begründungspflicht verletzt sowie den unbestimmten Hinweis auf "möglicherweise formell problematische Aspekte im Vorgehen der Vor- instanz" im Zusammenhang mit dem Informationsersuchen an Italien zu- trifft, dass der Beschwerdeführer in Italien unter zwei Identitäten registriert wurde und eines der registrierten Geburtsdaten seine Volljährigkeit impli- ziert, dass das erstellte Altersgutachten explizit festhält, die Altersangaben des Beschwerdeführers könnten nicht zutreffen und die Möglichkeit seiner Voll- jährigkeit nicht ausschliesst, wobei ein Mindestalter von (…) Jahren fest- gestellt wird, dass die den Akten zu entnehmenden äusseren physischen Merkmale des Beschwerdeführers nicht per se seine Minderjährigkeit nahelegen, dass sich gemäss Schilderung des Beschwerdeführers das in der einge- reichten Tazkera festgehaltene Geburtsdatum schlussendlich auf die An- gabe einer Privatperson – seines Onkels – stützt, dass die Vorinstanz – vor dem Hintergrund des Länderkontextes – bereits zutreffend auf die verminderte Beweiskraft beziehungsweise den vermin- derten Beweiswert der eingereichten Tazkera hingewiesen hat,</w:t>
      </w:r>
    </w:p>
    <w:p>
      <w:r>
        <w:t>E-4400/2022 Seite 6 dass ferner darauf hinzuweisen ist, dass es sich im Zusammenhang mit Berichtigungsverfahren über ZEMIS-Einträge um ein rein datenschutz- rechtliches Verfahren handelt und der Grundsatz "in dubio pro minore" – entgegen der Behauptung des Beschwerdeführers – keine Anwendung fin- det (vgl. BGer 1C_709/2017 vom 12. Februar 2019 E. 2.4 m.w.H), dass bei dieser Ausgangslage nicht davon gesprochen werden kann, das vom Beschwerdeführer geltend gemachte Alter beziehungsweise Geburts- datum sei das wahrscheinlichere, dass die Vorinstanz – unter Anbringung eines Bestreitungsvermerks – durch den von ihr vorgenommenen Eintrag keine Bundesrecht verletzt hat, dass die Beschwerde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14. Oktober 2022 geleistete Kostenvor- schuss in gleicher Höhe zur Bezahlung der Verfahrenskosten zu verwen- den ist, dass es sich bei dieser Ausgangslage nicht mehr aufdrängt, dem Be- schwerdeführer eine neue Rechtsvertretung zu bestellen.</w:t>
      </w:r>
    </w:p>
    <w:p>
      <w:r>
        <w:t>(Dispositiv nächste Seite)</w:t>
      </w:r>
    </w:p>
    <w:p>
      <w:r>
        <w:t>E-4400/2022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