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E-4397/2021 vom 7. Oktober 2021</w:t>
      </w:r>
    </w:p>
    <w:p>
      <w:r>
        <w:t>Bundesverwaltungsgericht, 2021-10-07, DE</w:t>
      </w:r>
    </w:p>
    <w:p>
      <w:r>
        <w:rPr>
          <w:b/>
        </w:rPr>
        <w:t xml:space="preserve">Quelle: </w:t>
      </w:r>
      <w:r>
        <w:t>https://mcp.opencaselaw.ch/entscheid/bvger_E-4397_2021</w:t>
      </w:r>
    </w:p>
    <w:p>
      <w:r>
        <w:t>FR: TAF E-4397/2021 du 7 octobre 2021</w:t>
      </w:r>
    </w:p>
    <w:p>
      <w:r>
        <w:t>IT: TAF E-4397/2021 del 7 ottobre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im Wesentlichen mit der mangelnden Asylrelevanz der Vorbringen. Das SEM zweifelte weder am Beitritt der Beschwerdeführerin zur HDP noch an ihren vorgebrachten politischen Aktivitäten. Angesichts ihres niederschwelligen politischen Profils als einfaches Parteimitglied ohne exponierte Stellung innerhalb der HDP, den jahrelang zurückliegenden Untersuchungshaften, dem einmaligen Verfahren, in welchem sie im Jahr 2008 freigesprochen worden sei, der legalen Ausreise - bei welcher fraglich sei, ob sie ohne das Familiennachzugsgesuch überhaupt ausgereist wäre - und der (abgesehen von Belästigungen mittels Drohnenüberwachung und den Behördenbesuchen, anlässlich welcher sich die Behörden nach ihrem Ehemann, ihrer Tochter und ihrem Schwager erkundigt hätten) fehlenden Reflexverfolgung, stelle sich die Frage, welches Interesse die Behörden an ihr gehabt hätten. Ihr allgemeiner Verweis, dass andere Aktivistinnen oder ihre Freundinnen verhaftet worden seien, weshalb sie bei einer Rückkehr ebenfalls verhaftet würde, überzeuge nicht. Aufgrund ihrer Erlebnisse und aus subjektiver Sicht seien ihre Befürchtungen durchaus nachvollziehbar, würden jedoch jeglicher objektiven Grundlage entbehren. Die türkischen Behörden hätten zahlreiche Mittel und Wege gehabt, sie festzunehmen oder Verfahren gegen sie einzuleiten, falls ein tatsächliches Interesse an ihrer Person bestanden hätte. Die von ihr geschilderten Erlebnisse hätten nie ein asylrechtlich relevantes Ausmass erlangt. Weshalb dies bei einer Rückkehr anders sein sollte, habe sie nicht zu begründen vermocht. Ein soziales Netzwerk (Kinder, Geschwister und Stiefgeschwister) sei in der Türkei vorhanden. Ihr Kind habe ihren Lebensunterhalt finanziert, obschon diese finanzielle Bürde nicht einfach gewesen sei. Es sei anzunehmen, dass sie im Falle einer Rückkehr in die Türkei, nebst der Unterstützung ihrer Familie vor Ort, auch auf die Mithilfe ihrer in der Schweiz lebenden Tochter zählen könnte. Aus ihren gesundheitlichen Beschwerden würden sich angesichts des gut entwickelten türkischen Gesundheitssystems keine Anzeichen ergeben, die gegen eine Zumutbarkeit des Wegweisungsvollzugs sprechen würden.</w:t>
      </w:r>
    </w:p>
    <w:p>
      <w:r>
        <w:rPr>
          <w:b/>
        </w:rPr>
        <w:t>E. 5.2</w:t>
      </w:r>
    </w:p>
    <w:p>
      <w:r>
        <w:t>Zur Begründung ihres Rechtsmittels wiederholt die Beschwerdeführerin ihre Vorbringen und führt ergänzend im Wesentlichen aus, sie habe grosse Erinnerungslücken, weshalb ihre Erklärungen nicht in einer logischen Reihenfolge und mit vielen fehlenden Informationen erfolgt seien. Eine medizinische Abklärung sei nicht abgewartet worden. Auch einfache Mitglieder der HDP seien in der Türkei gefährdet und würden verhaftet. So sei ihr Ehemann, der auch keine hohe führende Rolle in der HDP innegehabt habe, ebenfalls wegen seiner PKK-Mitgliedschaft verurteilt worden. Sie sei den türkischen Sicherheitsbehörden bekannt und es sei ihr mit dem Tod beziehungsweise dem Verschwinden lassen gedroht worden. Insgesamt weise sie ein besonderes, asylrelevantes politisches Profil auf. Ihre Kinder seien alle bei der HDP aktiv und würden in Angst und unter sehr schwierigen Lebensumständen leben, weshalb sie ihr keinen Schutz und Unterstützung bieten könnten. Ihren beiden älteren Söhnen sei die Arbeitsstelle bei der Gemeinde gekündigt worden. Ihr jüngster Sohn sei untergetaucht, weil er wegen des Militärdienstes gesucht werde. Sie habe keine Rente und sei aufgrund ihrer gesundheitlichen Beschwerden nicht arbeitsfähig. Die Sozialhilfeleistungen seien sehr niedrig und würden willkürlich mehrheitlich an der Regierungspartei nahestehende Personen ausgezahlt. Als alleinstehende Frau würde sie, nebst dem gesellschaftlichen Druck, ebenfalls seitens der Sicherheitsbehörden unter Druck gesetzt.</w:t>
      </w:r>
    </w:p>
    <w:p>
      <w:r>
        <w:rPr>
          <w:b/>
        </w:rPr>
        <w:t>E. 6.1</w:t>
      </w:r>
    </w:p>
    <w:p>
      <w:r>
        <w:t>Nach Prüfung der Akten der Beschwerdeführerin kommt das Bundesverwaltungsgericht zum Schluss, dass die Vorinstanz ihre Vorbringen zu Recht als flüchtlingsrechtlich nicht relevant qualifiziert hat. Die Ausführungen in der Beschwerdeschrift vermögen den Erwägungen des SEM letztlich nichts Stichhaltiges entgegenzusetzen. Somit kann vorab auf die zutreffenden Erwägungen in der angefochtenen Verfügung verwiesen werden. Ergänzend hält das Bundesverwaltungsgericht Folgendes fest:</w:t>
      </w:r>
    </w:p>
    <w:p>
      <w:r>
        <w:rPr>
          <w:b/>
        </w:rPr>
        <w:t>E. 6.2</w:t>
      </w:r>
    </w:p>
    <w:p>
      <w:r>
        <w:t>Die Rechtsvertreterin hatte die Vorinstanz bereits mit Eingabe vom 26. Mai 2021 auf die Erinnerungsprobleme der Beschwerdeführerin aufmerksam gemacht und an der ergänzenden Anhörung Fragen dazu gestellt (vgl. SEM-Akten [...]-42/12 [nachfolgend: A42], F49 f.). Dass ihre Antworten anlässlich der Anhörungen nicht immer in einer logischen Reihenfolge und teils lückenhaft ausgefallen sein mögen, ist indes insofern irrelevant, als dass die Vorinstanz das politische Engagement der Beschwerdeführerin nicht in Frage gestellt hat. Der Sachverhalt kann deshalb als erstellt erachtet werden. Folglich ist auf das Subeventualbegehren, die Sache zur Neubeurteilung an die Vorinstanz zurückzuweisen, nicht weiter einzugehen.</w:t>
      </w:r>
    </w:p>
    <w:p>
      <w:r>
        <w:rPr>
          <w:b/>
        </w:rPr>
        <w:t>E. 6.3</w:t>
      </w:r>
    </w:p>
    <w:p>
      <w:r>
        <w:t>Den geltend gemachten erlittenen Nachteilen (mehrfache kurzzeitige Untersuchungshaften und ein abgeschlossenes Verfahren) mangelt es an der asylrechtlich erforderlichen Intensität. An dieser Einschätzung ändern auch ihre Aussagen, wonach sie anlässlich der Untersuchungshaft beschimpft und geschlagen worden sei, nichts, zumal diese Festnahmen bereits mehrere Jahre zurückliegen (vgl. A42 F32 ff.). Ihren Aussagen ist sodann insbesondere nicht zu entnehmen, dass sich die Bedrohungssituation bis zu ihrer Ausreise intensiviert hätte. Die Schikanen (Überwachung mit Drohnen, Besuche durch die Behörden), denen die Beschwerdeführerin seit der Ausreise ihres Ehemannes ausgesetzt gewesen sei, vermögen für sich alleine keine flüchtlingsrechtlich relevante Verfolgung zu begründen, da sie aufgrund ihrer Art und Intensität nicht als ernsthafte Nachteile im Sinne von Art. 3 Abs. 1 AsylG zu werten sind.</w:t>
      </w:r>
    </w:p>
    <w:p>
      <w:r>
        <w:rPr>
          <w:b/>
        </w:rPr>
        <w:t>E. 6.4</w:t>
      </w:r>
    </w:p>
    <w:p>
      <w:r>
        <w:t>Die Beschwerdeführerin habe zwar unter anderem wegen politischer Verfolgung mehrfach den Wohnort gewechselt. Seit ihrem Wegzug aus E._______ sei sie aber nicht mehr in Untersuchungshaft gewesen. Gemäss ihren Aussagen hätten die Behörden sie seither überwacht und bei ihr zuhause jeweils nach ihrem Ehemann, ihrer Tochter und ihrem Schwager gefragt (vgl. A29 F72 ff. und F80; A42 F32 und F47). Anhand dieser Schilderungen bestätigt sich der Eindruck mangelnden Interesses der Behörden an der Beschwerdeführerin, zumal die Behördenbesuche in erster Linie darauf ausgerichtet schienen, ihre Familienmitglieder ausfindig zu machen. Es ist ihren Aussagen indes nicht zu entnehmen, dass ihre Bewegungsfreiheit derart massiv eingeschränkt war und sie stets befürchten musste, es drohten ihr weitere Verfolgungsmassnahmen. Die Schikanen durch die türkischen Behörden sind nicht als unerträglicher psychischer Druck im Sinne von Art. 3 Abs. 2 AsylG zu qualifizieren, zumal ihr nach der Ausreise ihres Ehemannes ein weiterer Verbleib in der Türkei möglich war, bis dieser ein Gesuch um Familiennachzug für sie stellte. Die nachvollziehbare subjektive Furcht, wie ihre Freundinnen verhaftet zu werden, vermochte sie ferner nicht objektiv zu konkretisieren.</w:t>
      </w:r>
    </w:p>
    <w:p>
      <w:r>
        <w:rPr>
          <w:b/>
        </w:rPr>
        <w:t>E. 6.5</w:t>
      </w:r>
    </w:p>
    <w:p>
      <w:r>
        <w:t>Das SEM stellte schliesslich zu Recht fest, dass nicht von begründeter Furcht vor zukünftiger Reflexverfolgung auszugehen ist. Aus dem Umstand, dass ihrem Ehemann in der Schweiz Asyl gewährt wurde, vermag die Beschwerdeführerin nichts zu ihren Gunsten abzuleiten. Auch das Engagement ihrer Kinder für die HDP ist nicht geeignet, bei der Beschwerdeführerin zur Annahme eines politisch exponierten Profils zu führen. Die Familie ist seit Jahren politisch aktiv. Ihren Aussagen sind indes keine Hinweise darauf zu entnehmen, dass die Beschwerdeführerin vor ihrer Ausreise wegen des Engagements ihrer Kinder mit Problemen oder gar Nachteilen konfrontiert gewesen wäre. Es ist nicht ersichtlich, weshalb sich daran bei einer Rückkehr etwas ändern würde.</w:t>
      </w:r>
    </w:p>
    <w:p>
      <w:r>
        <w:rPr>
          <w:b/>
        </w:rPr>
        <w:t>E. 6.6</w:t>
      </w:r>
    </w:p>
    <w:p>
      <w:r>
        <w:t>Zusammenfassend ist daher festzuhalten, dass die Vorinstanz zu Recht die Flüchtlingseigenschaft der Beschwerdeführerin verneint und ihr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8.2.2</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türkisch-kurdischen Konfliktes sowie der bewaffneten Auseinandersetzungen zwischen der PKK und staatlichen Sicherheitskräften seit Juli 2015 in verschiedenen Provinzen im Südosten des Landes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Urteile des BVGer E-1716/2020 vom 22. April 2020 E. 7.4.1 und E-2182/2020 vom 17. Dezember 2020 E. 12.4.1 je m.w.H.). Bei C._______ handelt es sich sodann nicht um eine Provinz, bei der die geltende Rechtsprechung des Bundesverwaltungsgerichts von der generellen Unzumutbarkeit des Vollzugs von Wegweisungen ausgeht (vgl. BVGE 2013/2 E. 9.6 und das Referenzurteil E-1948/2018 E. 7.3.1).</w:t>
      </w:r>
    </w:p>
    <w:p>
      <w:r>
        <w:rPr>
          <w:b/>
        </w:rPr>
        <w:t>E. 8.3.2</w:t>
      </w:r>
    </w:p>
    <w:p>
      <w:r>
        <w:t>In individueller Hinsicht ist festzuhalten, dass die Beschwerdeführerin in der Türkei nach wie vor über ein soziales Netz (Kinder, Geschwister und Stiefgeschwister) verfügt. Bereits vor ihrer Ausreise wurde sie von ihren Kindern finanziell unterstützt und hat bei ihrem Sohn gewohnt (vgl. A29 F17 ff. und A43 F52 f.). Auch wenn ihre Söhne ihre Anstellung bei der Gemeinde verloren haben sollten (vgl. Beschwerde S. 10), ist anzunehmen, dass sie sich in wirtschaftlicher Hinsicht wieder zurechtfinden werden. Es ist davon auszugehen, dass die Familienangehörigen der Beschwerdeführerin im Heimatstaat sowie ihre Tochter in der Schweiz sie - sollten die Sozialhilfeleistung des türkischen Staates nicht ausreichen - bei einer Rückkehr unterstützen können. Betreffend die gesundheitlichen Probleme der Beschwerdeführerin ([...]) kann davon ausgegangen werden, dass sie eine allfällig notwendige medizinische Behandlung im Heimatstaat erhältlich machen kann. Die Behandlung allfälliger psychischer Probleme in Zusammenhang mit ihren Erinnerungsschwierigkeiten sollte in der Türkei ebenfalls sowohl stationär als auch ambulant möglich sein. In antizipierender Beweiswürdigung (vgl. BGE 136 I 229 E. 5.3 m.w.H.) ist das Ergebnis der medizinischen Abklärung in der Schweiz folglich nicht abzuwarten. Bei dieser Aktenlage ist nicht davon auszugehen, die Beschwerdeführerin würde nach einer Rückkehr in eine existenzbedrohende Lage geraten (vgl. BVGE 2014/26 E. 7.6). Nach dem Gesagten erweist sich der Vollzug der Wegweisung auch als zumutbar.</w:t>
      </w:r>
    </w:p>
    <w:p>
      <w:r>
        <w:rPr>
          <w:b/>
        </w:rPr>
        <w:t>E. 8.4</w:t>
      </w:r>
    </w:p>
    <w:p>
      <w:r>
        <w:t>Schliesslich obliegt es der Beschwerdeführerin, die im Besitz eines Reisepasses und einer Identitätskare (beide im Original) ist,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Verzicht auf die Erhebung eines Kostenvorschusses wird mit dem vorliegenden Urteil gegenstandslos.</w:t>
      </w:r>
    </w:p>
    <w:p>
      <w:r>
        <w:rPr>
          <w:b/>
        </w:rPr>
        <w:t>E. 10.2</w:t>
      </w:r>
    </w:p>
    <w:p>
      <w:r>
        <w:t>Die Beschwerdeführerin ersuchte um Gewährung der unentgeltlichen Prozessführung und um Beiordnung einer unentgeltlichen Rechtsbeiständin (Art. 102m AsylG). Aufgrund der vorstehenden Erwägungen ergibt sich, dass ihre Begehren als aussichtlos zu gelten haben. Damit ist eine der kumulativ zu erfüllenden Voraussetzungen gemäss Art. 65 Abs. 1 VwVG nicht gegeben, weshalb die Gesuche abzuweisen sind.</w:t>
      </w:r>
    </w:p>
    <w:p>
      <w:r>
        <w:rPr>
          <w:b/>
        </w:rPr>
        <w:t>E. 10.3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