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E-4395/2018 vom 6. September 2018</w:t>
      </w:r>
    </w:p>
    <w:p>
      <w:r>
        <w:t>Bundesverwaltungsgericht, 2018-09-06, FR</w:t>
      </w:r>
    </w:p>
    <w:p>
      <w:r>
        <w:rPr>
          <w:b/>
        </w:rPr>
        <w:t xml:space="preserve">Quelle: </w:t>
      </w:r>
      <w:r>
        <w:t>https://mcp.opencaselaw.ch/entscheid/bvger_E-4395_2018</w:t>
      </w:r>
    </w:p>
    <w:p>
      <w:r>
        <w:t>FR: TAF E-4395/2018 du 6 septembre 2018</w:t>
      </w:r>
    </w:p>
    <w:p>
      <w:r>
        <w:t>IT: TAF E-4395/2018 del 6 settembre 2018</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w:t>
      </w:r>
    </w:p>
    <w:p>
      <w:r>
        <w:rPr>
          <w:b/>
        </w:rPr>
        <w:t>E. 2.1</w:t>
      </w:r>
    </w:p>
    <w:p>
      <w:r>
        <w:t>Sollicitant, à titre liminaire, une restitution du délai au sens de l'art. 24 PA, l'intéressé a fait valoir avoir été empêché d'agir, sans sa faute, dans le délai légal, n'ayant jamais reçu le bulletin d'avis du courrier recommandé de la Poste. Selon lui, la gestion de la distribution des courriers connaîtrait des défaillances au sein de son foyer, accrues par les déménagements en raison de rénovations. Informé le 2 juillet 2018 de l'existence d'une décision, son recours, déposé le 30 juillet courant, serait recevable.</w:t>
      </w:r>
    </w:p>
    <w:p>
      <w:r>
        <w:rPr>
          <w:b/>
        </w:rPr>
        <w:t>E. 2.2</w:t>
      </w:r>
    </w:p>
    <w:p>
      <w:r>
        <w:t>Une décision est réputée notifiée lorsqu'elle est parvenue dans la sphère de puissance de son destinataire ou d'une personne autorisée à le représenter (cf. Jacques Dubey/Jean-Baptiste Zufferey, Droit administratif général, 2014, par. 956 p. 340 ; Pierre Moor/Etienne Poltier, Droit administratif, Volume II, Les actes administratifs et leur contrôle, 3ème éd., 2011, p. 353).</w:t>
      </w:r>
    </w:p>
    <w:p>
      <w:r>
        <w:rPr>
          <w:b/>
        </w:rPr>
        <w:t>E. 2.3</w:t>
      </w:r>
    </w:p>
    <w:p>
      <w:r>
        <w:t>Conformément à l'art. 108 al. 1 LAsi, le recours doit être déposé dans les 30 jours dès la notification de la décision attaquée. Ce délai légal ne peut être prolongé (art. 22 al. 1 PA). Le délai commence à courir le lendemain de la notification (cf. art. 20 al. 1 PA). Toute notification ou communication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revient sans avoir pu leur être délivré (cf. art. 12 al. 1 LAsi ; voir aussi art. 20 al. 2bis PA).</w:t>
      </w:r>
    </w:p>
    <w:p>
      <w:r>
        <w:rPr>
          <w:b/>
        </w:rPr>
        <w:t>E. 2.4</w:t>
      </w:r>
    </w:p>
    <w:p>
      <w:r>
        <w:t>En l'occurrence, le récépissé postal informant que le courrier recommandé, contenant la décision attaquée, adressée au recourant, était à la Poste, n'est pas entré dans la sphère de puissance de celui-ci. En effet, L._______ a lui-même confirmé au Tribunal l'existence de défaillances dans la gestion du courrier, qui se faisait par le biais d'une boîte aux lettres collective et d'un intendant assigné à sa distribution au sein des chambres, et non en mains propres des destinataires. Les nombreux déménagements entre foyers, et entre les chambres au sein du même foyer, étaient « très probablement » la cause de la perte dudit courrier. Il convient dès lors de retenir que la décision du 9 mai 2018 n'a pas été valablement notifiée au recourant à l'échéance du délai de garde de 7 jours, et partant, que le délai de recours n'a pas commencé à courir à cette date. Ayant eu connaissance de l'existence d'une décision le concernant le 2 juillet 2018, le recourant a requis du SEM, par courrier du 4 juillet, que dite décision lui soit notifiée. L'autorité lui a expédié la décision, en original, en date du 9 juillet 2018. Par conséquent, il y a lieu de considérer que la décision lui a, à ce moment-là, été valablement notifiée. Le recours ayant été déposé le 30 juillet 2018, il l'est dans le délai légal. En ces circonstances, la demande de restitution du délai est sans objet.</w:t>
      </w:r>
    </w:p>
    <w:p>
      <w:r>
        <w:rPr>
          <w:b/>
        </w:rPr>
        <w:t>E. 2.5</w:t>
      </w:r>
    </w:p>
    <w:p>
      <w:r>
        <w:t>En outre, l'intéressé a qualité pour recourir et le recours est présenté dans la forme prescrite par la loi. Partant, le recours est recevable (cf. art. 48 al. 1 et 52 PA).</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3.4</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4.1</w:t>
      </w:r>
    </w:p>
    <w:p>
      <w:r>
        <w:t>En l'occurrence, le SEM a relevé, avec raison, de nombreux éléments d'invraisemblance dans le récit du recourant.</w:t>
      </w:r>
    </w:p>
    <w:p>
      <w:r>
        <w:rPr>
          <w:b/>
        </w:rPr>
        <w:t>E. 4.2</w:t>
      </w:r>
    </w:p>
    <w:p>
      <w:r>
        <w:t>Tout d'abord, A._______ a quitté légalement le Sri Lanka en (...), par l'aéroport de Colombo, muni de son propre passeport. Il n'aurait pas été en mesure de quitter le territoire, au vu et au su des autorités, s'il avait été recherché depuis plusieurs mois. Il a, en outre, allégué avoir demandé (et obtenu) un passeport sri-lankais, en (...), alors même qu'il était censé être recherché. Un tel comportement, manifestement de nature à éveiller les soupçons, ne correspond à l'évidence pas à celui d'une personne craignant d'être arrêtée. Il appert peu crédible que les personnes soupçonnées d'appartenir aux LTTE ne soient connues que des autorités locales faute de digitalisation, ainsi qu'il l'avance au stade du recours. Cela étant, les déclarations de l'intéressé se sont avérées floues et comportent de nombreuses divergences, voire contradictions. Principalement, le recourant n'a pas été constant sur les circonstances ayant justifié son départ. S'il a déclaré avoir rendu visite à son ami détenu au mois de (...) lors de sa première audition, il a, au cours de sa seconde audition, varié par trois fois de versions, mentionnant d'abord le mois d'août (...), le début de l'année (...), pour finalement certifier se souvenir y être allé après son anniversaire ([...]) (cf. audition sur les motifs, questions 102 p. 11, 121 p. 13 et 161 p. 17). Vu le caractère crucial de l'évènement, ayant conduit les gardiens à interroger son ami à son sujet, l'argument, selon lequel il avait du mal à se souvenir de certains évènements, ne convainc pas (cf. audition sur les motifs, question 160 p. 17). L'intéressé s'est également contredit sur la personne ayant visité E._______, tantôt l'oncle de ce dernier, tantôt son propre oncle paternel, situant l'évènement une fois en (...) et une autre fois en (...). De telles contradictions ne s'expliquent pas, dès lors que c'est suite à cette visite et à ce qu'en aurait rapporté cette personne qu'il aurait quitté son foyer pour se cacher chez sa famille et aurait entrepris les démarches en vue de quitter son pays. Son récit n'a pas été plus constant quant à la vie qu'il aurait menée depuis qu'il avait pris connaissance des investigations menées à son sujet par les gardiens de prison. Alors qu'il s'est d'abord prévalu d'avoir vécu un mois chez sa tante à F._______ et dix jours à Colombo avant son départ, il a ensuite soutenu s'être d'abord muré chez des tantes, puis chez son oncle à G._______, puis encore chez le frère de sa grand-mère maternelle à F._______ avant de se rendre à Colombo. Par ailleurs, ses déclarations, émaillées d'imprécisions, comportent des divergences en lien avec les manifestations auxquelles il aurait assisté et le récit de ses détentions n'est guère fondé. Dans son ensemble, les évènements relatés ne semblent pas avoir été vécus.</w:t>
      </w:r>
    </w:p>
    <w:p>
      <w:r>
        <w:rPr>
          <w:b/>
        </w:rPr>
        <w:t>E. 4.3</w:t>
      </w:r>
    </w:p>
    <w:p>
      <w:r>
        <w:t>Il convient également d'écarter les documents produits. Les lettres de soutien ont une valeur probante restreinte dès lors qu'elles ont été établies par des proches du recourant et qu'une collusion ne peut être exclue. En tout état de cause, ces pièces ne corroborent pas ses allégations. Comme l'a relevé le SEM, l'attestation émanant de H._______ aurait été obtenue sur demande du cousin et/ou de la mère de l'intéressé. Elle mentionne que celui-ci a été visé par des menaces en (...), bien que l'intéressé n'en ait fait aucune mention. L'auteur du document ne relate d'ailleurs en rien qu'il aurait fait libérer le recourant, en (...), contrairement à ce qu'allègue ce dernier (cf. audition sur les motifs, question 28 p. 4). S'agissant de l'attestation produite au stade du recours, et outre sa valeur probante restreinte, dans la mesure où elle n'a été produite que sous forme de copie, elle évoque des visites bimensuelles au domicile des parents de l'intéressé depuis son départ, alors même que celui-ci n'a déclaré que quatre ou cinq visites domiciliaires (cf. audition sur les motifs, questions 64 p. 7 et 140 p. 15). Les photographies de son frère et de sa cousine, prétendument membres des LTTE, ne permettent en rien de démontrer leur adhésion au mouvement et encore moins les problèmes allégués par le recourant.</w:t>
      </w:r>
    </w:p>
    <w:p>
      <w:r>
        <w:rPr>
          <w:b/>
        </w:rPr>
        <w:t>E. 4.4</w:t>
      </w:r>
    </w:p>
    <w:p>
      <w:r>
        <w:t>En définitive, le recourant n'a pas rendu vraisemblable qu'au moment de son départ du Sri Lanka, il remplissait les conditions pour se voir reconnaître la qualité de réfugié.</w:t>
      </w:r>
    </w:p>
    <w:p>
      <w:r>
        <w:rPr>
          <w:b/>
        </w:rPr>
        <w:t>E. 5.1</w:t>
      </w:r>
    </w:p>
    <w:p>
      <w:r>
        <w:t>Dans son arrêt de référence E-1866/2015, du 15 juillet 2016, le Tribunal a procédé à une analyse actualisée de la situation des ressortissants sri-lankais qui retournent dans leur pays d'origine, en se basant notamment sur plusieurs rapports d'observateurs sur le terrain. Il est arrivé à la conclusion que, même après le changement de gouvernement en janvier 2016, une des préoccupations majeures des autorités sri-lankaises est demeurée d'étouffer toute résurgence du séparatisme tamoul. Aussi, toute personne susceptible d'être considérée comme représentant une menace à cet égard doit se voir reconnaître une crainte objectivement fondée de préjudices. Le Tribunal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de tel facteur de risque faible.</w:t>
      </w:r>
    </w:p>
    <w:p>
      <w:r>
        <w:rPr>
          <w:b/>
        </w:rPr>
        <w:t>E. 5.2</w:t>
      </w:r>
    </w:p>
    <w:p>
      <w:r>
        <w:t>En l'espèce, le Tribunal parvient à la conclusion qu'en dépit de son origine, de son appartenance ethnique et de son séjour prolongé en Suisse, le recourant ne présente pas un tel profil à risque. Celui-ci a admis n'avoir jamais été membre des LTTE, outre une prétendue aide ponctuelle apportée à deux individus en (...). S'il a certes fait valoir que l'un de ses frères était décédé en (...) au front en tant que combattant des LTTE, et que son autre frère avait travaillé pour eux, il n'a aucunement rendu crédible avoir rencontré des problèmes avec les autorités pour ces motifs ni pour un quelconque autre motif. Sa cousine, ancienne combattante pour le mouvement, vivrait d'ailleurs à proximité de chez lui et, malgré la surveillance rapprochée qu'exerceraient sur elle les autorités, le recourant n'a pas allégué qu'elle avait subi d'autres préjudices. Il a d'ailleurs été en mesure de quitter le territoire, par l'aéroport de Colombo, muni de son propre passeport obtenu en (...). S'agissant de sa participation à une manifestation à Genève, en (...), elle ne peut remettre en cause cette appréciation, le recourant n'ayant pas allégué avoir occupé une fonction particulière à cette occasion. Le Tribunal estime que l'issue des élections communales du 10 février 2018 ne change rien à cette appréciation. Il convient donc de s'en tenir à l'analyse de la situation préalablement exposée.</w:t>
      </w:r>
    </w:p>
    <w:p>
      <w:r>
        <w:rPr>
          <w:b/>
        </w:rPr>
        <w:t>E. 5.3</w:t>
      </w:r>
    </w:p>
    <w:p>
      <w:r>
        <w:t>Au vu de ce qui précède, le recourant ne peut se prévaloir d'une crainte objectivement fondée de persécution future en cas de retour au Sri Lanka en raison de sa situation personnelle.</w:t>
      </w:r>
    </w:p>
    <w:p>
      <w:r>
        <w:rPr>
          <w:b/>
        </w:rPr>
        <w:t>E. 5.4</w:t>
      </w:r>
    </w:p>
    <w:p>
      <w:r>
        <w:t>Il s'ensuit que le recours, en tant qu'il conteste le refus de reconnaissance de la qualité de réfugié et le rejet de la demande d'asile, doit être rejeté et la décision attaquée être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84 LEtr (RS 142.20).</w:t>
      </w:r>
    </w:p>
    <w:p>
      <w:r>
        <w:rPr>
          <w:b/>
        </w:rPr>
        <w:t>E. 7.2</w:t>
      </w:r>
    </w:p>
    <w:p>
      <w:r>
        <w:t>L'exécution n'est pas licite lorsque le renvoi de la personne étrangère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w:t>
      </w:r>
    </w:p>
    <w:p>
      <w:r>
        <w:rPr>
          <w:b/>
        </w:rPr>
        <w:t>E. 7.3</w:t>
      </w:r>
    </w:p>
    <w:p>
      <w:r>
        <w:t>L'exécution du renvoi ne peut pas être raisonnablement exigée si le renvoi ou l'expulsion de la personne étrangère dans son pays d'origine ou de provenance la met concrètement en danger, par exemple en cas de guerre, de guerre civile, de violence généralisée ou de nécessité médicale (art. 83 al. 4 LEtr). L'exécution n'est pas possible lorsque la personne étrangère ne peut pas quitter la Suisse pour son Etat d'origine, son Etat de provenance ou un Etat tiers, ni être renvoyée dans un de ces Etats (art. 83 al. 2 LEtr).</w:t>
      </w:r>
    </w:p>
    <w:p>
      <w:r>
        <w:rPr>
          <w:b/>
        </w:rPr>
        <w:t>E. 8.1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il s'agit d'abord de la personne étrangère reconnue réfugiée, mais soumise à une clause d'exclusion de l'asile, et ensuite de la personne étrangère pouvant démontrer qu'elle serait exposée à un traitement prohibé par l'art. 3 CEDH ou encore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8.5</w:t>
      </w:r>
    </w:p>
    <w:p>
      <w:r>
        <w:t>En l'occurrence, pour les raisons déjà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avoir le profil d'une personne pouvant intéresser les autorités sri-lankaises ni a fortiori l'existence de motifs sérieux et avérés de croire à un risque réel d'être soumis à un traitement contraire à cette disposition conventionnelle.</w:t>
      </w:r>
    </w:p>
    <w:p>
      <w:r>
        <w:rPr>
          <w:b/>
        </w:rPr>
        <w:t>E. 8.6</w:t>
      </w:r>
    </w:p>
    <w:p>
      <w:r>
        <w:t>Dès lors, l'exécution du renvoi du recourant sous forme de refoulement ne transgresse aucun engagement de la Suisse relevant du droit international, de sorte qu'elle s'avère licite (cf. art. 44 LAsi et art. 83 al. 3 LEtr).</w:t>
      </w:r>
    </w:p>
    <w:p>
      <w:r>
        <w:rPr>
          <w:b/>
        </w:rPr>
        <w:t>E. 9.1</w:t>
      </w:r>
    </w:p>
    <w:p>
      <w:r>
        <w:t>Selon l'art. 83 al. 4 LEtr,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 et jurisp. cit.).</w:t>
      </w:r>
    </w:p>
    <w:p>
      <w:r>
        <w:rPr>
          <w:b/>
        </w:rPr>
        <w:t>E. 9.2</w:t>
      </w:r>
    </w:p>
    <w:p>
      <w:r>
        <w:t>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E-1866/2015 précité consid. 13).</w:t>
      </w:r>
    </w:p>
    <w:p>
      <w:r>
        <w:rPr>
          <w:b/>
        </w:rPr>
        <w:t>E. 9.3</w:t>
      </w:r>
    </w:p>
    <w:p>
      <w:r>
        <w:t>Dans cet arrêt de référence (cf. consid. 13.2 à 13.4), le Tribunal a procédé à une actualisation de sa jurisprudence publiée aux ATAF 2011/24. Il a confirmé que l'exécution du renvoi était exigible dans l'ensemble de la province du Nord (cf. consid. 13.3) à certaines conditions (cf. consid. 13.3.3), à l'exception de la région du Vanni (cf. consid. 13.3.2), dans la province de l'Est à certaines conditions (en particulier l'existence d'un réseau social ou familial, l'accès au logement et la perspective de pouvoir couvrir ses besoins élémentaires, cf. consid. 13.4) et dans les autres régions du pays. Le Tribunal s'est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 En l'occurrence, l'intéressé, originaire de la province du Nord, est jeune et en bonne santé. Apte à travailler, il est en mesure de subvenir à ses besoins et pourra compter sur le soutien de sa famille, en particulier de ses parents, pour se réinstaller dans son pays.</w:t>
      </w:r>
    </w:p>
    <w:p>
      <w:r>
        <w:rPr>
          <w:b/>
        </w:rPr>
        <w:t>E. 9.4</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10.1</w:t>
      </w:r>
    </w:p>
    <w:p>
      <w:r>
        <w:t>Au vu de ce qui précède, la décision du SEM est également fondée en tant qu'elle ordonne l'exécution du renvoi de l'intéressé.</w:t>
      </w:r>
    </w:p>
    <w:p>
      <w:r>
        <w:rPr>
          <w:b/>
        </w:rPr>
        <w:t>E. 10.2</w:t>
      </w:r>
    </w:p>
    <w:p>
      <w:r>
        <w:t>En conséquence, le recours, sur ce point aussi, est rejeté.</w:t>
      </w:r>
    </w:p>
    <w:p>
      <w:r>
        <w:rPr>
          <w:b/>
        </w:rPr>
        <w:t>E. 11</w:t>
      </w:r>
    </w:p>
    <w:p>
      <w:r>
        <w:t>La demande de dispense de paiement des frais de procédure ayant été admise, il est statué sans frais (cf. art. 63 al. 1 et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