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E-4395/2014 vom 26. August 2014</w:t>
      </w:r>
    </w:p>
    <w:p>
      <w:r>
        <w:t>Bundesverwaltungsgericht, 2014-08-26, DE</w:t>
      </w:r>
    </w:p>
    <w:p>
      <w:r>
        <w:rPr>
          <w:b/>
        </w:rPr>
        <w:t xml:space="preserve">Quelle: </w:t>
      </w:r>
      <w:r>
        <w:t>https://mcp.opencaselaw.ch/entscheid/bvger_E-4395_2014</w:t>
      </w:r>
    </w:p>
    <w:p>
      <w:r>
        <w:t>FR: TAF E-4395/2014 du 26 août 2014</w:t>
      </w:r>
    </w:p>
    <w:p>
      <w:r>
        <w:t>IT: TAF E-4395/2014 del 26 agosto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gelangt in der angefochtenen Verfügung zum Schluss, die Vorbringen des Beschwerdeführers hielten weder den Anforderungen an die Flüchtlingseigenschaft gemäss Art. 3 AsylG, noch denjenigen an das Glaubhaftmachen gemäss Art. 7 AsylG stand. Zu Art. 3 AsylG führt die Vorinstanz aus, die als glaubhaft erachtete gerichtliche Verurteilung im Jahre 1998 sowie die darauffolgende Haft hätten im Zeitpunkt der Ausreise rund 15 Jahre zurückgelegen. Damit sei der erforderliche zeitliche und sachliche Kausalzusammenhang zur Ausreise im Herbst 2013 nicht mehr gegeben. Zu Art. 7 AsylG hält die Vorinstanz fest, die Ausführungen des Beschwerdeführers zu seinen Aktivitäten für die ESP, namentlich dem Verteilen von Zeitungen, seien unsubstantiiert, wenig detailliert und würden den Eindruck vermitteln, dass er Details vermeiden wolle. Es sei nicht auszuschliessen, dass der Beschwerdeführer von den türkischen Behörden verhört worden sei. Den Festnahmen komme indes aufgrund ihrer kurzen Dauer keine Asylrelevanz zu. Zudem seien die Angaben betreffend die von der Polizei angebotene Zusammenarbeit vage und ausweichend ausgefallen. Auch habe er während der Befragung wiederholt die vorgebrachte Festnahme mit der geltend gemachten Entführung verwechselt. Dies vermittle den Eindruck, der Beschwerdeführer erzähle nicht über selbst Erlebtes. Sodann widerspreche es jeglicher Logik, dass der Beschwerdeführer von den Entführern mit dem Tod bedroht, letztlich aber trotz seiner Weigerung zur Kollaboration, im Wald zurückgelassen worden sei. Die Erklärung, die Polizisten hätten die Wahl gehabt, entweder ihn zu töten oder zurückzulassen, vermöge die Unstimmigkeit nicht aufzulösen. Die geltend gemachte Festnahme sowie die Entführung seien nicht glaubhaft.</w:t>
      </w:r>
    </w:p>
    <w:p>
      <w:r>
        <w:rPr>
          <w:b/>
        </w:rPr>
        <w:t>E. 4.2</w:t>
      </w:r>
    </w:p>
    <w:p>
      <w:r>
        <w:t>In der Rechtmitteleingabe bringt der Beschwerdeführer vor, entgegen der vorinstanzlichen Ansicht sei der Kausalzusammenhang zwischen der Verurteilung im Jahre 1998 und der Ausreise Ende des Jahre 2013 gegeben. Aufgrund seiner Verurteilung sei er im Strafregister registriert. Deshalb und weil er sich weiterhin politisch engagiert habe, habe er das Augenmerk der Behörden auf sich gezogen. Er habe begründete Furcht vor künftiger Verfolgung.</w:t>
      </w:r>
    </w:p>
    <w:p>
      <w:r>
        <w:rPr>
          <w:b/>
        </w:rPr>
        <w:t>E. 4.3</w:t>
      </w:r>
    </w:p>
    <w:p>
      <w:r>
        <w:t>Entgegen den Ausführungen in der Eingabe ist festzustellen, dass der Beschwerdeführer nicht bedingt, sondern aufgrund einer Amnestie vorzeitig und ohne Auflage aus der Gefängnishaft entlassen wurde. Im Anschluss daran hat er gemäss seinen eigenen Angaben den obligatorischen Militärdienst absolviert. Für die Zeit danach bis zu den angeführten Vorkommnissen im Juni 2013 macht er keine konkreten Schwierigkeiten mit den heimatlichen Behörden geltend. Gemäss seinen Angaben war er bis zur Ausreise stets an derselben Adresse wohnhaft und in derselben Fabrik tätig. Wäre er jedoch, wie in der Rechtsmitteleingabe vorgebracht wird, tatsächlich als politisch unbequeme Person im Allgemeinen Informationssystem GBTS (Genel Bilgi Toplama Sistemi) erfasst und in unzulässiger Weise politisch aktiv tätig gewesen, hätte ihn die Polizei wahrscheinlich bereits früher belangt, sicherlich aber anlässlich der angeführten Inhaftierung im Juni 2013 kaum nach zwei bis drei Stunden ohne Weiteres wieder freigelassen. Vor diesem Hintergrund ist die vorinstanzliche Schlussfolgerung, zwischen der Inhaftierung von 1998 und 2000 und der Ausreise Ende des Jahres 2013 fehle es am erforderlichen sachlichen und zeitlichen Kausalzusammenhang, in rechtlicher Hinsicht nicht zu beanstanden. Auch in Bezug auf das Glaubhaftmachen ist die vorinstanzliche Beweiswürdigung ist nicht zu kritisieren. In der angefochtenen Verfügung wird im Einzelnen dargelegt, aus welchen Gründen die Vorbringen des Beschwerdeführers unsubstantiiert, detailarm und vage sind, den Eindruck vermitteln, der Beschwerdeführer verheimliche Details beziehungsweise berichte nicht über selbst Erlebtes sowie der Logik des Handelns widersprechen und damit insgesamt nicht glaubhaft sind. Mit dem blossen Wiederholen der Asylvorbringen und dem sinngemässen Festhalten an deren Tatsächlichkeit in der Rechtsmitteleingabe bringt der Beschwerdeführer nichts vor, das geeignet wäre, seine Aussagen in einem anderen Licht erscheinen zu lassen. Um Wiederholungen zu vermeiden, kann auf die entsprechenden Erwägungen in der angefochtenen Verfügung verwiesen werden. Nachdem einerseits der Kausalzusammenhang nicht gegeben ist, andererseits die Vorbringen des Beschwerdeführers nicht glaubhaft sind, besteht kein begründeter Anlass zur Annahme einer begründeten Frucht vor künftiger Verfolgung. Solche liegt nur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(vgl. ausführlich BVGE 2010/57 E. 2.5). Es erübrigt sich demnach, auf die entsprechenden Ausführungen in der Rechtsmitteleingabe weiter einzugehen.</w:t>
      </w:r>
    </w:p>
    <w:p>
      <w:r>
        <w:rPr>
          <w:b/>
        </w:rPr>
        <w:t>E. 4.4</w:t>
      </w:r>
    </w:p>
    <w:p>
      <w:r>
        <w:t>Insgesamt hat der Beschwerdeführer somit nichts vorgebracht, das geeignet wäre, die Flüchtlingseigenschaft nachzuweisen oder glaubhaft zu machen. An diesem Schluss vermögen weder die Referenzschreiben, welche als blosse Gefälligkeitsschreiben zu qualifizieren und damit ohne Beweiswert sind, noch die bereits aktenkundigen Beweismittel etwas zu ändern. Die Vorinstanz hat das Asylgesuch zu Recht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die Türkei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der Türkei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Beschwerdeführer hat die Türkei im Alter von (...) Jahren verlassen und lebte weniger als ein Jahr hier in der Schweiz, mithin ist er mit dem türkischen Lebensalltag und der Kultur bestens vertraut. Gemäss seinen Angaben leben seine Ehefrau, seine Kinder, seine Eltern und Geschwister nach wie vor in der Türkei, womit er über ein bestehendes familiäres Beziehungsnetz verfügt. Sodann verfügt er über langjährige Berufserfahrungen als D._______ in einer Fabrik, weshalb ihm zuzumuten ist, bei einer Rückkehr eine neue Existenz aufzubauen. Gemäss ständiger Praxis des Bundesverwaltungsgerichts stellen blosse soziale und wirtschaftliche Schwierigkeiten jedenfalls keine existenzbedrohende Situation dar, die gegen die Zumutbarkeit des Vollzug spricht (statt vieler: Urteil des Bundesverwaltungsgerichts E-5508/2013 vom 3. Oktober 2013, mit weiteren Verweisen). Der Vollzug der Wegweisung erweist sich als zumutbar.</w:t>
      </w:r>
    </w:p>
    <w:p>
      <w:r>
        <w:rPr>
          <w:b/>
        </w:rPr>
        <w:t>E. 6.3</w:t>
      </w:r>
    </w:p>
    <w:p>
      <w:r>
        <w:t>Der Beschwerdeführer verfügt über eine türkische Identitätskarte, weshalb der Vollzug der Wegweisung auch möglich ist (vgl. Art. 8 Abs. 4 AsylG und dazu BVGE 2008/34 E. 12 S. 513 - 515).</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8.2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