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E-4394/2023 vom 3. August 2023</w:t>
      </w:r>
    </w:p>
    <w:p>
      <w:r>
        <w:t>Bundesverwaltungsgericht, 2023-08-03, DE</w:t>
      </w:r>
    </w:p>
    <w:p>
      <w:r>
        <w:rPr>
          <w:b/>
        </w:rPr>
        <w:t xml:space="preserve">Quelle: </w:t>
      </w:r>
      <w:r>
        <w:t>https://mcp.opencaselaw.ch/entscheid/bvger_E-4394_2023_d20230803</w:t>
      </w:r>
    </w:p>
    <w:p>
      <w:r>
        <w:t>FR: TAF E-4394/2023 du 3 août 2023</w:t>
      </w:r>
    </w:p>
    <w:p>
      <w:r>
        <w:t>IT: TAF E-4394/2023 del 3 agosto 2023</w:t>
      </w:r>
    </w:p>
    <w:p>
      <w:pPr>
        <w:pStyle w:val="Heading2"/>
      </w:pPr>
      <w:r>
        <w:t>Regeste</w:t>
      </w:r>
    </w:p>
    <w:p>
      <w:r>
        <w:t>Asyl und Wegweisung (Art. 40 i.V.m. Art. 6a Abs. 2 AsylG) | Asyl und Wegweisung (Art. 40 i.V.m. Art. 6a Abs. 2 AsylG); Verfügung des SEM vom 3.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E-4394/2023 Seite 4 Gestützt auf Art. 111a Abs. 1 AsylG wurde auf die Durchführung eines Schriftenwechsels verzichtet.</w:t>
      </w:r>
    </w:p>
    <w:p>
      <w:r>
        <w:rPr>
          <w:b/>
        </w:rPr>
        <w:t>E. 4.1</w:t>
      </w:r>
    </w:p>
    <w:p>
      <w:r>
        <w:t>Der Beschwerdeführer rügt, die Vorinstanz sei fälschlicherweise von einer Beschwerdefrist von fünf Tagen ausgegangen, habe seine Vorbrin- gen und die Zeitungsberichte (Links) in der Entscheidfindung nicht berück- sichtigt beziehungsweise nicht sorgfältig und ernsthaft geprüft und habe bereits anlässlich der Anhörung eine voreingenommene Haltung gezeigt beziehungsweise hierbei eine Einschätzung vorweggenommen, womit sie das rechtliche Gehör verletzt habe. Zudem habe die Vorinstanz weder eine Prüfung der Asylgründe noch eine Glaubhaftigkeitsprüfung vorgenommen und letztere nur für den Fall einer Beschwerdeeinreichung in Aussicht ge- stellt, womit eine sachgerechte Anfechtung verunmöglicht beziehungs- weise die Begründungspflicht verletzt worden sei. Diese formellen Rügen sind vorab zu prüfen, da sie bei berechtigtem Vor- bringen zu einer Kassation der angefochtenen Verfügung führen können.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4.3</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(vgl. KÖLZ/HÄNER/BERTSCHI, Verwaltungsverfahren und Verwaltungsrechtspflege des Bundes, 3. Aufl. 2013, Rz. 630). Der</w:t>
      </w:r>
    </w:p>
    <w:p>
      <w:r>
        <w:t>E-4394/2023 Seite 5 Amtsgrundsatz zur Feststellung des Sachverhalts findet seine Grenze an der Mitwirkungspflicht der Partei (Art. 8 AsylG).</w:t>
      </w:r>
    </w:p>
    <w:p>
      <w:r>
        <w:rPr>
          <w:b/>
        </w:rPr>
        <w:t>E. 4.4</w:t>
      </w:r>
    </w:p>
    <w:p>
      <w:r>
        <w:t>Vorab ist festzustellen, dass die Vorinstanz die angefochtene Verfü- gung explizit auf Art. 40 AsylG in Verbindung mit Art. 6a Abs. 2 Bst. a AsylG gestützt hat (vgl. angefochtene Verfügung S. 6). Gemäss Art. 108 Abs. 3 AsylG sind Beschwerden gegen Entscheide nach Art. 40 AsylG in Verbin- dung mit Art. 6a Abs. 2 Bst. a AsylG innerhalb von fünf Arbeitstagen seit Eröffnung der Verfügung einzureichen. Die vorliegend zu beurteilende Rechtsmittelbelehrung mit einer Beschwerdefrist von fünf Arbeitstagen ist folglich nicht zu beanstanden (vgl. angefochtene Verfügung S. 7); die ent- sprechende Rüge erweist sich als unbegründet (vgl. Beschwerde S. 7).</w:t>
      </w:r>
    </w:p>
    <w:p>
      <w:r>
        <w:rPr>
          <w:b/>
        </w:rPr>
        <w:t>E. 4.5</w:t>
      </w:r>
    </w:p>
    <w:p>
      <w:r>
        <w:t>Was sodann die Prüfung der Asylvorbringen und Beweismittel anbe- langt, vermengt der Beschwerdeführer in seinen Beschwerdeausführun- gen eine fehlerhafte Sachverhaltsfeststellung mit der Verletzung des recht- lichen Gehörs. So beschlägt eine allfällige Nichtberücksichtigung von Vor- bringen oder Beweismitteln die Frage der Vollständigkeit des Sachverhalts wohingegen deren nicht sorgfältige oder ernsthafte Prüfung eine Frage der Verletzung des rechtlichen Gehörs beziehungsweise der Begründungs- pflicht darstellt. Vorliegend ist weder eine fehlerhafte Sachverhaltsfeststel- lung noch eine Verletzung des rechtlichen Gehörs festzustellen; die Be- gründungspflicht wurde nicht verletzt. Es trifft zwar zu, dass die vorinstanzlichen Erwägungen in der angefochtenen Verfügung äusserst konzis ausgefallen sind. Die Vorinstanz hat jedoch sowohl die rechtserheb- lichen Vorbringen des Beschwerdeführers als auch die von ihm eingereich- ten Beweismittel vollständig im Sachverhalt aufgeführt und diese ausrei- chend in ihre Erwägungen einfliessen lassen (vgl. angefochtene Verfügung S. 3 Ziff. 4 und S. 5 oben). Dass sie hierbei auf die Links beziehungsweise Medienberichte nicht explizit eingegangen ist, ist in der vorliegenden Kons- tellation nicht zu beanstanden. Zudem durfte sie gemäss Art. 40 Abs. 2 AsylG ihren Entscheid summarisch begründen. Die Beschwerdeeingabe zeigt schliesslich deutlich auf, dass eine sachgerechte Anfechtung möglich war. Weiter ist der Rüge, die Vorinstanz habe weder die Asylgründe noch deren Glaubhaftigkeit geprüft, entgegenzuhalten, dass die Vorinstanz sehr wohl unter Annahme einer (hypothetischen) Glaubhaftigkeit eine Prüfung der flüchtlingsrechtlichen Beachtlichkeit der Asylgründe durchgeführt und dargelegt hat, weshalb die Asylvorbringen des Beschwerdeführers aus ihrer Sicht den Anforderungen an Art. 3 AsylG nicht genügen (vgl. an- gefochtene Verfügung S. 4 f.). Nach der gesetzlichen Konzeption sind Gesuchsteller verpflichtet, die Flüchtlingseigenschaft nachzuweisen oder</w:t>
      </w:r>
    </w:p>
    <w:p>
      <w:r>
        <w:t>E-4394/2023 Seite 6 zumindest glaubhaft zu machen (vgl. Art. 7 Abs. 1 AsylG). Erweisen sich Vorbringen als nicht asylrelevant, ist die Vorinstanz nicht gehalten, die Vor- bringen zusätzlich auf ihre Glaubhaftigkeit zu prüfen; das Vorgehen der Vorinstanz ist unter dem Aspekt der Rechtslogik nicht zu beanstanden (vgl. Urteil des BVGer E-5906/2016 vom 26. Januar 2018 E. 9.1.1). Dass die Vorinstanz hierbei zu einer anderen Würdigung der Gesuchsvorbringen ge- langt, als vom Beschwerdeführer verlangt, spricht weder für eine ungenü- gende Sachverhaltsfeststellung noch stellt dies eine Verletzung der Be- gründungs- beziehungsweise Beweiswürdigungspflicht dar. Schliesslich finden die Rügen betreffend die Durchführung der Anhörung keinen Rück- halt im Anhörungsprotokoll, welches weder die monierte Voreingenom- menheit der Befragerin erkennen lässt noch in anderer Weise zu bemän- geln ist. An der entsprechenden Stelle der Anhörung hat die Befragerin dem Beschwerdeführer lediglich das rechtliche Gehör zu einer mutmassli- chen Abweisung seines Asylgesuchs gewährt, verbunden mit der Frage, was er bei einer allfälligen Rückkehr in die Slowakei zu befürchten habe, was – auch wenn es den Beschwerdeführer aufwühlte – ebenfalls nicht zu beanstanden ist (vgl. SEM-eAkten 15/16 F32).</w:t>
      </w:r>
    </w:p>
    <w:p>
      <w:r>
        <w:rPr>
          <w:b/>
        </w:rPr>
        <w:t>E. 4.6</w:t>
      </w:r>
    </w:p>
    <w:p>
      <w:r>
        <w:t>Die formellen Rügen erweisen sich insgesamt als unbegründet, wes- halb keine Veranlassung besteht, die angefochtene Verfügung aus formel- len Gründen aufzuheben und die Sache an die Vorinstanz zurückzuwei- sen. Das entsprechende Beschwerdebegehren ist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lehnte das Asylgesuch des Beschwerdeführers gestützt auf Art. 40 i.V.m. Art. 6a Abs. 2 Bst. a AsylG ab. Gemäss Art. 40 AsylG wird ein Asylgesuch ohne weitere Abklärungen abgelehnt, wenn aufgrund der Anhörung offenkundig wird, dass Asylsuchende ihre Flüchtlingseigenschaft weder beweisen noch glaubhaft machen können und ihrer Wegweisung</w:t>
      </w:r>
    </w:p>
    <w:p>
      <w:r>
        <w:t>E-4394/2023 Seite 7 keine Gründe entgegenstehen. Gemäss Art. 6a Abs. 2 Bst. a AsylG be- zeichnet der Bundesrat Staaten als sichere Heimat- oder Herkunftsstaaten, in denen nach seinen Feststellungen Sicherheit vor Verfolgung herrscht.</w:t>
      </w:r>
    </w:p>
    <w:p>
      <w:r>
        <w:rPr>
          <w:b/>
        </w:rPr>
        <w:t>E. 6.2</w:t>
      </w:r>
    </w:p>
    <w:p>
      <w:r>
        <w:t>Die Vorinstanz ist in ihren Erwägungen zur zutreffenden Erkenntnis ge- langt, die vom Beschwerdeführer geltend gemachten Verfolgungsvorbrin- gen würden den Anforderungen an die Asylrelevanz nicht genügen. Der Beschwerdeführer führte als Hauptgrund für das Verlassen der Slowa- kischen Republik Diskriminierung und Unterdrückung als ethnischer Roma sowie Probleme bei der Stellensuche an (vgl. bspw. SEM-eAkten 15/16 F25 und F27). Die geschilderten Nachteile lassen die erforderliche Intensi- tät jedoch vermissen (vgl. a.a.O. insb. F25). Vielmehr ist aufgrund der ein- gereichten Beweismittel und der Ausführungen davon auszugehen, dass der Beschwerdeführer sehr wohl immer wieder – dies auch in bedeutenden Positionen – arbeiten konnte. So führte er namentlich aus, mehrere Jahre als Journalist gearbeitet zu haben, was er mit einem bis 30. August 2028 gültigen slowakischen Presseausweis untermauerte. Er konnte eigenen Angaben zufolge sogar zusammen mit der Vertreterin für Roma-Fragen für die Staatskanzlei arbeiten und als Journalist persönliche Termine bei hoch- rangigen Politikern erhalten. Auch sind seinen Ausführungen keine konkre- ten Schikanen oder Diskriminierungen am Arbeitsplatz zu entnehmen, die es ihm tatsächlich verunmöglicht hätten, seiner jeweiligen Arbeit nachzu- gehen. Die ausschweifenden Erklärungen zum Vorgehen des Arbeitsamtes bleiben allgemein und zeigen auf, dass stets Stellen auf dem Arbeitsmarkt angeboten werden (vgl. a.a.O.). Dasselbe gilt für die zusätzlich geschilder- ten Schikanen gegenüber der Familie des Beschwerdeführers, die eben- falls nur als gering einzustufen sind (vgl. a.a.O. bspw. Kind an Schule und Ehefrau bei Arbeitsanlässen). Die Vorinstanz wies folgerichtig darauf hin, dass die dargelegten Benachteiligungen nicht die erforderliche Intensität aufweisen würden, um als asylrelevant eingestuft zu werden respektive als ernsthafte Nachteile im Sinne des Asylgesetzes zu gelten. Ebenso stellte sie zutreffend fest, dass sich der Beschwerdeführer diesbezüglich – bei Bedarf – an die slowakischen Behörden wenden könne, die sowohl schutz- willig als auch schutzfähig seien. Sodann machte der Beschwerdeführer geltend, er habe im Jahr (…) im Büro des Ministerpräsidenten Dokumente entwendet und diese seinem Kollegen B._______ – mit dem er die gesetzeswidrigen Praktiken des slo- wakischen Justizsystems aufgedeckt habe – weitergeleitet. lm Jahr 2018 habe er in den Medien erfahren, dass dieser Kollege ermordet worden sei.</w:t>
      </w:r>
    </w:p>
    <w:p>
      <w:r>
        <w:t>E-4394/2023 Seite 8 Zweimal sei er bereits vom Geheimdienst (SIS) und mehrere Male von der Polizei zur Zentrale mitgenommen worden. Hierzu ist festzustellen, dass die Vorinstanz in ihrer Verfügung zu Recht darauf hingewiesen hat, dass es sich bei der Slowakischen Republik um einen Staat der Europäischen Union handelt, der durch den Bundesrat als verfolgungssicher Staat («Safe Country») gemäss Art. 6a Abs. 2 Bst. a AsylG bezeichnet wurde. Im Rahmen der periodischen Überprüfung (vgl. Art. 6a Abs. 3 AsylG) ist die Schweizer Regierung darauf bisher nicht zu- rückgekommen. Die Bezeichnung eines Landes als verfolgungssicherer Staat beinhaltet die Regelvermutung, dass asylrelevante staatliche Verfol- gung nicht stattfindet und Schutz vor nichtstaatlicher Verfolgung gewähr- leistet ist. Hierbei handelt es sich um eine relative Verfolgungssicherheit, welche im Einzelfall auf Grund konkreter und substantiierter Hinweise um- gestossen werden kann. Entsprechende Hinweise, die geeignet wären diese Regelvermutung umzustossen, konnte der Beschwerdeführer offen- sichtlich weder im vorinstanzlichen Verfahren noch auf Beschwerdeebene dartun. Vielmehr verweist er auf Medienberichte, die belegen, dass der Mord an seinem Journalistenkollegen B._______ seitens des Staates um- gehend verfolgt sowie aufgeklärt wurde und die Verantwortlichen vor Ge- richt gestellt wurden (vgl. SEM-eAkten 21/4). Dass einer der Angeklagten Kontakte in die Politik gehabt haben soll und aus Mangel an Beweisen frei- gesprochen wurde, ändert hieran nichts. Es ist davon auszugehen, dass dieser staatliche Schutz – bei Bedarf – auch dem Beschwerdeführer zu- kommt. Im Übrigen untermauern weitere Hinweise die zutreffende Schluss- folgerung der Vorinstanz, wonach der Beschwerdeführer weder vor seiner Ausreise noch bei einer Rückkehr in die Slowakei asylrelevanter Verfol- gung ausgesetzt war beziehungsweise sein wird. So werden beispiels- weise weder sein Name noch die geltend gemachte Unterstützung bei den Recherchen in den verlinkten Medienberichten erwähnt und es ergeben sich aus diesen auch keine sonstigen Hinweise auf die Person des Be- schwerdeführers. Dieser bestätigte zudem, dass der brisante Artikel nicht seinen Namen, sondern einzig denjenigen von B._______ trage (vgl. a.a.O. F72 f.). Überdies will er einzig in den Medien über den Mord seines engen Kollegen erfahren haben, von dem er weder weiss von wem noch wo er ausgeführt worden ist (vgl. a.a.O. F40 ff.). Er führt zwar auf, vor seiner Ausreise von der Polizei und dem SIS verhört worden zu sein. Da er jedoch bereits in der Slowakei Diebstähle (so auch die Dokumente vom Ministerpräsidenten) begangen hat und deshalb dort auch schon in Haft war (vgl. a.a.O. bspw. F37, F39, F43), sind die Befragungen hierauf zurückzuführen. Die Verfolgung entsprechender Delikte durch die</w:t>
      </w:r>
    </w:p>
    <w:p>
      <w:r>
        <w:t>E-4394/2023 Seite 9 Justizbehörden ist als legitime Handlung eines Rechtsstaates nicht zu be- anstanden. Die Haftstrafe sowie deren Dauer lassen im Übrigen nicht auf einen Politmalus schliessen (vgl. a.a.O. F37). Vor diesem Hintergrund er- klärt sich schliesslich auch, weshalb der Beschwerdeführer weder bei einer höheren Beschwerdeinstanz (auch auf europäischer Ebene möglich) noch über seinen Anwalt gegen das Vorgehen der Justizbehörden um Schutz ersucht hat (vgl. a.a.O. F63 ff.). Es kann an dieser Stelle darauf verzichtet werden, auf die Beschwerdevor- bringen noch näher einzugehen, da sie offensichtlich nicht geeignet sind, die Richtigkeit der Erwägungen der Vorinstanz in Frage zu stellen.</w:t>
      </w:r>
    </w:p>
    <w:p>
      <w:r>
        <w:rPr>
          <w:b/>
        </w:rPr>
        <w:t>E. 6.3</w:t>
      </w:r>
    </w:p>
    <w:p>
      <w:r>
        <w:t>Zusammenfassend hat der Beschwerdeführer nichts vorgebracht, was geeignet wäre, seine Flüchtlingseigenschaft nachzuweisen. Die Vorinstanz hat das Asylgesuch zu Recht abgelehnt.</w:t>
      </w:r>
    </w:p>
    <w:p>
      <w:r>
        <w:rPr>
          <w:b/>
        </w:rPr>
        <w:t>E. 7.1</w:t>
      </w:r>
    </w:p>
    <w:p>
      <w:r>
        <w:t>Lehnt das SEM ein Asylgesuch ab oder tritt es nicht darauf ein, so ver- fügt es in der Regel die Wegweisung aus der Schweiz und ordnet den Voll- zug an (Art. 44 [erster Satz] AsylG; vgl. BVGE 2013/37 E 4.4 und 2009/50 E. 9, je m.w.H.). Von dieser Regel wird dann abgewichen, wenn die asyl- suchende Person im Besitz einer gültigen ausländerrechtlichen Aufent- halts- oder Niederlassungsbewilligung ist (vgl. Art. 32 Bst. a der Asylver- ordnung 1 über Verfahrensfragen vom 11. August 1999 [AsylV1; SR 142.311]). Die Wegweisung wird praxisgemäss auch dann nicht ver- fügt, wenn eine asylsuchende Person grundsätzlich über einen Anspruch auf Erteilung einer Aufenthaltsbewilligung verfügt und diesbezüglich ein Gesuch bei der zuständigen kantonalen Ausländerbehörde bereits pendent ist (vgl. Urteile des BVGer D-1333/2014 vom 19. März 2014 E. 7.1. f., D-7983/2009 vom 13. Januar 2010 E. 4.1).</w:t>
      </w:r>
    </w:p>
    <w:p>
      <w:r>
        <w:rPr>
          <w:b/>
        </w:rPr>
        <w:t>E. 7.2</w:t>
      </w:r>
    </w:p>
    <w:p>
      <w:r>
        <w:t>Im Falle des Beschwerdeführers ist aufgrund der Akten weder der eine noch der andere Grund für den Verzicht auf die Anordnung der Wegwei- sung erfüllt. Es ist in diesem Zusammenhang zwar festzustellen, dass es sich beim Beschwerdeführer um einen slowakischen Staatsange- hörigen und damit um einen Bürger der Europäischen Union handelt, wes- halb er nach den Bestimmungen des Abkommens zwischen der Schweize- rischen Eidgenossenschaft einerseits und der Europäischen Gemeinschaft und ihren Mitgliedstaaten andererseits über die Freizügigkeit (Freizügig- keitsabkommen [FZA], SR 0.142.112.681) grundsätzlich über das Recht auf Einreise und Aufenthalt in der Schweiz wie auch über eine</w:t>
      </w:r>
    </w:p>
    <w:p>
      <w:r>
        <w:t>E-4394/2023 Seite 10 Anspruchsgrundlage für die Erteilung einer Aufenthaltsbewilligung verfügt. Dieser Umstand steht jedoch vorliegend der Anordnung der Wegweisung nicht entgegen, da sich der Beschwerdeführer nicht aus einem der im Frei- zügigkeitsabkommen genannten Gründe in der Schweiz aufhält, sondern – soweit ersichtlich – alleine zwecks Einreichung eines Asylgesuches in die Schweiz eingereist ist (vgl. hierzu Urteil des BVGer D-1333/2014 vom 19. März 2014 E. 7.2 und angefochtene Verfügung S. 5).</w:t>
      </w:r>
    </w:p>
    <w:p>
      <w:r>
        <w:rPr>
          <w:b/>
        </w:rPr>
        <w:t>E. 7.3</w:t>
      </w:r>
    </w:p>
    <w:p>
      <w:r>
        <w:t>Somit ist die Anordnung der Wegweisung aus der Schweiz zu bestäti- gen.</w:t>
      </w:r>
    </w:p>
    <w:p>
      <w:r>
        <w:rPr>
          <w:b/>
        </w:rPr>
        <w:t>E. 8</w:t>
      </w:r>
    </w:p>
    <w:p>
      <w:r>
        <w:t>Gemäss Dispositiv der angefochtenen Verfügung bildet der Vollzug der Wegweisung hingegen nicht Gegenstand des vorliegenden Verfahrens. Dieser fällt vorliegend – wie von der Vorinstanz im Dispositiv festgestellt und in der Beschwerde nicht moniert – aufgrund des sich in Haft befinden- den EU-Bürgers in den Zuständigkeitsbereich der kantonalen Behörden, bei welchen der Beschwerdeführer seine diesbezüglichen Anliegen bei Be- darf geltend machen kann.</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Der Beschwerdeführer beantragt die Gewährung der unentgeltlichen Prozessführung und amtlichen Verbeiständung. Aufgrund der vorstehen- den Erwägungen ergibt sich, dass seine Begehren als aussichtlos zu gel- ten haben, womit eine der kumulativ zu erfüllenden Voraussetzungen ge- mäss Art. 65 Abs. 1 VwVG nicht gegeben ist, weshalb die Gesuche abzu- weisen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10.3</w:t>
      </w:r>
    </w:p>
    <w:p>
      <w:r>
        <w:t>Mit vorliegendem Urteil ist der Antrag auf Verzicht auf Erhebung eines Kostenvorschusses gegenstandslos geworden.</w:t>
      </w:r>
    </w:p>
    <w:p>
      <w:r>
        <w:t>E-4394/2023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