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E-4393/2006 vom 21. September 2010</w:t>
      </w:r>
    </w:p>
    <w:p>
      <w:r>
        <w:t>Bundesverwaltungsgericht, 2010-09-21, DE</w:t>
      </w:r>
    </w:p>
    <w:p>
      <w:r>
        <w:rPr>
          <w:b/>
        </w:rPr>
        <w:t xml:space="preserve">Quelle: </w:t>
      </w:r>
      <w:r>
        <w:t>https://mcp.opencaselaw.ch/entscheid/bvger_E-4393_2006</w:t>
      </w:r>
    </w:p>
    <w:p>
      <w:r>
        <w:t>FR: TAF E-4393/2006 du 21 septembre 2010</w:t>
      </w:r>
    </w:p>
    <w:p>
      <w:r>
        <w:t>IT: TAF E-4393/2006 del 21 settembre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ARK am 31. Dezember 2006 hängig gewesenen Rechtsmittel. Das Bundesverwaltungsgericht ist daher zuständig für die Beurteilung der vorliegenden Beschwerde. Die Beurteilung erfolgt nach neuem Verfahrensrecht (vgl. Art. 53 Abs. 2 VGG).</w:t>
      </w:r>
    </w:p>
    <w:p>
      <w:r>
        <w:rPr>
          <w:b/>
        </w:rPr>
        <w:t>E. 1.3</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AsylG i.V.m. Art. 37 VGG und Art. 48 Abs. 1, 50 und 52 VwVG). Auf die Beschwerde ist einzutreten.</w:t>
      </w:r>
    </w:p>
    <w:p>
      <w:r>
        <w:rPr>
          <w:b/>
        </w:rPr>
        <w:t>E. 1.4</w:t>
      </w:r>
    </w:p>
    <w:p>
      <w:r>
        <w:t>Das am (...) geborene Kind C._______ wird in das Beschwerdeverfahren einbezogen.</w:t>
      </w:r>
    </w:p>
    <w:p>
      <w:r>
        <w:rPr>
          <w:b/>
        </w:rPr>
        <w:t>E. 1.5</w:t>
      </w:r>
    </w:p>
    <w:p>
      <w:r>
        <w:t>Mit Zwischenverfügung vom 2. März 2005 wurde festgestellt, dass das vorliegende Beschwerdeverfahren mit demjenigen des Ehemannes der Beschwerdeführerin (E-3755/2006) vereinigt wird. In der Folge wurden die Beschwerdeverfahren unter separaten Verfahrensnummern weiter geführt, jedoch koordiniert behandelt. Die Beschwerdeführerin wird durch dieselbe Rechtsvertreterin wie ihr Ehemann vertreten. Diese Umstände sprechen nicht gegen den Erlass zweier separater Urteile durch das Bundesverwaltungsgericht, zumal darin die jeweiligen Vorbringen des anderen Ehegatten mitberücksichtigt werden. Indessen wird dies bei der Kostenerhebung zu berücksichtigen sein.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damit, die Beschwerdeführerin habe einzelne Aufenthalte in Serbien erst auf Vorhalt hin zugegeben. Zudem müssten ihre Angaben zu ihren Aufenthalten in Serbien bezweifelt werden, da ihr Ehemann ganz andere und zudem in sich widersprüchliche Angaben gemacht habe. Sie habe offensichtlich versucht, ihre Aufenthalte und die Beziehungen zu Personen in Serbien zu verschleiern. Im Weiteren sei die Beschwerdeführerin über die politischen Verhältnisse bestens informiert und habe dazu sehr differenzierte und ausführliche Auskunft gegeben. Aus den von ihr und von ihrem Ehemann abgegebenen Akten und ihren Vorbringen gehe hervor, dass sie sich politisch für die Versöhnung zwischen Albanern und Serben eingesetzt hätten. Es könne daher nicht ausgeschlossen werden, dass sie bei einem Verbleib im Kosovo mit Übergriffen von extremistischen Albanern hätten rechnen müssen. Demgegenüber habe die Beschwerdeführerin jedoch keinen Bescheid über die Verwandten ihres Ehemannes gewusst. Es sei ihr angeblich auch nicht bekannt, ob ihr Schwiegervater, der an (...) von I._______ teilgenommen habe, nach dessen Verschwinden wieder aufgetaucht sei und ob er sich bei jemandem gemeldet habe. Über dessen Verschwinden gebe es in der Presse auch keine Meldungen. Zudem seien die Angaben der Beschwerdeführerin über die angebliche Verfolgung im Kosovo unrealistisch und nicht substanziiert ausgefallen. Im Gegensatz zu ihren Ausführungen über die Tätigkeiten bis im Jahr 2000 habe sie für das Geschehen während ihres Aufenthaltes von 2000 bis 2004 in F._______ nur vage Angaben gemacht. Zudem habe sie zu den Personen - Dorfbewohner - die sie während vier Jahren verfolgt hätten, keine Angaben machen können. Sie habe keinerlei konkrete Erlebnisse aus persönlicher Sicht berichten können, sondern dies lediglich von ihrem Gastgeber erfahren haben. Sie habe auch nicht gewusst, dass ihr Ehemann geltend gemacht habe, dass er im Haus ihres Gastgebers von der albanischen Geheimpolizei gesucht worden sei. Es sei auch nicht glaubhaft, die Beschwerdeführerin und ihr Ehemann wären nach der Geburt ihres Sohnes in Nis im Jahre 2001 und nach der Hochzeit in Novi Sad im Jahr 2003 freiwillig an den Ort im Kosovo zurückgekehrt, der ihren Verfolgern bekannt gewesen sei. Dies entspreche nicht dem Verhalten einer an Leib und Leben gefährdeten Person. Soweit die Beschwerdeführerin schliesslich geltend gemacht habe, sie sei im Kosovo wegen ihres Einsatzes für die Verständigung zwischen Albanern und Serben an Leib und Leben gefährdet, führte die Vorinstanz weiter aus, die Beschwerdeführerin habe die Möglichkeit, sich solchen lokal oder regional beschränkten Verfolgungsmassnahmen durch den Wegzug in einen anderen Teil des Heimatstaates, nach Serbien, zu entziehen. Sie habe sich bei diversen Gelegenheiten nach Serbien begeben, unter anderem weil sie sich bei der Geburt ihres Kindes sicherer gefühlt habe. Somit sei sie nicht auf den Schutz der Schweiz angewiesen.</w:t>
      </w:r>
    </w:p>
    <w:p>
      <w:r>
        <w:rPr>
          <w:b/>
        </w:rPr>
        <w:t>E. 4.2</w:t>
      </w:r>
    </w:p>
    <w:p>
      <w:r>
        <w:t>In der Rechtsmitteleingabe wird dazu eingewendet, die Beschwerdeführerin habe während vier Jahren im Haus von G._______ versteckt gelebt. Daher könne sie zu den Ereignissen in dieser Zeit und ihren Verfolgern nur ungenaue Angaben machen. Sie habe keinen Kontakt zu den Dorfbewohnern gehabt und darüber lediglich von G._______ erfahren. Sie und ihre Ehemann hätten die Liegenschaft nur zu speziellen Zwecken verlassen. Die anderen Mitglieder der Partei seien ins Ausland geflüchtet. Die Beschwerdeführerin sei eine revolutionäre Person mit vielen Ideologien, weshalb sie an den Ort ihrer Verfolgung zurückgekehrt sei, um die dort noch lebende Bevölkerung, wenn auch beschränkt, zu unterstützen. G._______'s Haus sei deshalb nicht angegriffen worden, weil dessen Vater (...) sehr bekannt gewesen sei. In den eingereichten Zeitungsartikeln und Mitteilungen aus dem Jahre 1999 wird über Vorfälle im Kosovo berichtet und die europäischen Länder werden zur Unterstützung der Bemühungen der KDI aufgerufen. In der Ausgabe der Zeitung "Kosova Sot" vom (...) distanziert sich die Familie J._______ vom Vater des Beschwerdeführers - K._______. Im Zeitungsartikel "Mord und Entführung" vom (...) wird von Übergriffen durch die UCK - Entführung des (...) der KDI, die Tötung eines Mitglieds der lokalen Sicherheitseinheit sowie die Beschädigung des Hauses einer weiteren serbisch loyalen Person - berichtet.</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bei der Prüfung der Aktualität der Verfolgungsfurcht massgeblich.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5.2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5.3</w:t>
      </w:r>
    </w:p>
    <w:p>
      <w:r>
        <w:t>Vorliegend gelangt das Bundesverwaltungsgericht zum Schluss, dass aufgrund der mittels entsprechender Beweismittel glaubhaft gemachten Mitgliedschaft (...) der KDI - ihr Schwiegervater soll zudem als (...) der Serben (...) in I._______ teilgenommen und sich dadurch exponiert haben - die von der Beschwerdeführerin geäusserte Furcht vor Übergriffen oder Drohungen durch albanische Extremisten im Kosovo im Zeitpunkt ihrer Ausreise berechtigt erschienen. Ob dies auch noch im heutigen Zeitpunkt der Fall ist, kann angesichts der hienach gemachten Feststellungen offen gelassen werden. Wie in der Zwischenverfügung vom 4. Juni 2010 ausgeführt, ist die Beschwerdeführerin - gestützt auf die Angaben zur Identität (vgl. A1, S. 1) sowie der in ihrer Identitätskarte enthaltenen Herkunft (Prizren) - als Staatsangehörige der Republik Kosovo zu bezeichnen. Ihr Heimatstaat hiess im Zeitpunkt ihrer Ausreise Serbien und Montenegro und war aus diesen zwei Territorien zusammengesetzt, wobei sich Montenegro im Jahre 2006 als unabhängiger, souveräner Staat ab spaltete. Am 17. Februar 2008 löste sich vom verbleibenden Serbien die Republik Kosovo ebenfalls ab und erklärte die staatliche Unabhängigkeit. Am 15. Juni 2008 trat die neue Verfassung in Kraft. Eine Reihe von Staaten - darunter die Schweiz - haben den Kosovo seit der Unabhängigkeitserklärung als souveränen Staat anerkannt. Von diesem Status geht somit auch das Bundesverwaltungsgericht aus (vgl. dazu das zur Publikation vorgesehene Urteil des Bundesverwaltungsgericht vom 15. April 2010, D-7561/2008). Gemäss dem Gesetz (Nr. 135/04) vom 21. Dezember 2004 besitzt die Beschwerdeführerin auch die serbische Staatsangehörigkeit, da sie auf dem (ehemaligen) Staatsgebiet der Republik Serbien geboren wurde. Gemäss Art. 114 Abs. 3 der neuen serbischen Verfassung, welche am 8. November 2006 in Kraft getreten ist, anerkennt Serbien die Republik Kosovo nicht als Staat und betrachtet damit die Staatsangehörigen des Kosovos grundsätzlich als serbische Staatsangehörige. Die Republik Kosovo, deren Staatsangehörigkeit die Beschwerdeführerin ebenfalls besitzt, aberkennt beziehungsweise verweigert Angehörigen anderer Staaten die kosovarische Staatsangehörigkeit nicht. Asylsuchende, die mehrere Staatsangehörigkeiten besitzen, sind nicht auf den Schutz eines Drittstaates angewiesen, sofern sie in einem der Staaten, dessen Staatsangehörigkeit sie besitzen, Schutz vor Verfolgung finden können. Die Beschwerdeführerin kann sich aufgrund ihrer serbischen Staatszugehörigkeit in Serbien niederlassen. Zwar schliesst das Bundesverwaltungsgericht Übergriffe von Privatpersonen auf Angehörige der ethnischen Minderheiten und teilweise behördliche Schikanen sowie Diskriminierungen nicht völlig aus. Vorliegend bestehen jedoch keinerlei Anhaltspunkte dafür, dass der Beschwerdeführerin aufgrund ihrer albanischen Volkszugehörigkeit in Serbien asylrechtlich relevante Verfolgung droht, zumal sie sich politisch nie gegen Serbien geäussert hat. Zudem ist den in der Stellungnahme vom 16. Juni 2010 geäusserten Befürchtungen, wonach sie aufgrund ihrer Funktion während des Krieges mit Anfeindungen seitens Albanern wie auch Serben rechnen müsse, entgegenzuhalten, dass sie sich als Mitglied der Kosovarischen Demokratischen Initiative (KDI) gerade für die Interessen der Serben eingesetzt hat. Unter diesen Umständen ist die Anerkennung der Flüchtlingseigenschaft und die Asylgewährung von vornherein ausgeschlossen (vgl. W. Kälin, Grundriss des Asylverfahrens, Basel/Frankfurt a. M. 1990, S. 35; UNHCR, Handbuch über Verfahren und Kriterien zur Feststellung der Flüchtlingseigenschaft, Genf 1993, S. 24, Rz. 106 und 107).</w:t>
      </w:r>
    </w:p>
    <w:p>
      <w:r>
        <w:rPr>
          <w:b/>
        </w:rPr>
        <w:t>E. 5.4</w:t>
      </w:r>
    </w:p>
    <w:p>
      <w:r>
        <w:t>Zusammenfassend ist festzustellen, dass die Beschwerdeführerin keine Gründe nach Art. 3 AsylG nachweisen oder glaubhaft machen kann. Auch eine begründete Furcht vor künftigen Verfolgungsmassnahmen ist zu verneinen. Die Vorinstanz hat das Asylgesuch der Beschwerdeführerin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w:t>
      </w:r>
    </w:p>
    <w:p>
      <w:r>
        <w:rPr>
          <w:b/>
        </w:rPr>
        <w:t>E. 7.1</w:t>
      </w:r>
    </w:p>
    <w:p>
      <w:r>
        <w:t>Vorab ist auf die bereits hievor gemachten Feststellungen hinzuweisen, wonach die Beschwerdeführerin - und im Übrigen auch ihre Kinder - sowohl über die Staatsangehörigkeit der Republik Kosovo als auch, infolge ihrer serbischen Abstammung und Geburt auf (ehemaligem) Staatsgebiet der Republik Serbien, über die serbische Staatsangehörigkeit verfügt. Aufgrund der früheren Funktion der Beschwerdeführerin als ehemalige (...) des Gemeindeausschusses der KDI von E._______ können Drohungen und Übergriffe im Kosovo durch albanische Extremisten und damit die Wahrscheinlichkeit einer konkreten Gefährdung der Beschwerdeführerin nicht ohne Weiteres ausgeschlossen werden. Die Beschwerdeführerin kann sich jedoch aufgrund ihrer serbischen Staatsangehörigkeit in Serbien niederlassen. Anhaltspunkte dafür, dass ihr in Serbien asylrechtlich relevante Verfolgung drohe, liegen wie hievor bereits festgestellt (vgl. E. 5.3), nicht vor. Deshalb wird im Folgenden lediglich geprüft, ob dem Wegweisungsvollzug nach Serbien Hindernisse entgegen stehen.</w:t>
      </w:r>
    </w:p>
    <w:p>
      <w:r>
        <w:rPr>
          <w:b/>
        </w:rPr>
        <w:t>E. 7.2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Die vorstehend erwähnten Bedingungen für einen Verzicht auf den Vollzug der Wegweisung (Unmöglichkeit, Unzulässigkeit, Unzumutbarkeit) sind alternativer Natur. Sobald eine von ihnen erfüllt ist, ist der Vollzug der Wegweisung als undurchführbar zu betrachten und die weitere Anwesenheit in der Schweiz gemäss den Bestimmungen über die vorläufige Aufnahme zu regeln (vgl. EMARK 2006 Nr. 6 E. 4.2. S. 54 f.; 2001 Nr. 1 E. 6a S. 2). Gegen eine allfällige Aufhebung der vorläufigen Aufnahme steht dem weggewiesenen Asylsuchenden wiederum die Beschwerde an das Bundesverwaltungsgericht offen (Art. 112 Abs. AuG i.V.m. Art. 31 ff. VGG), wobei in jenem Verfahren sämtliche Vollzugshindernisse von Amtes wegen und nach Massgabe der dannzumal herrschenden Verhältnisse (vgl. EMARK 1997 Nr. 27 S. 205 ff.) von Neuem zu prüfen sind. Weil sich vorliegend der Vollzug der Wegweisung nach Serbien (vgl. Zif. 7.1) - aus den nachfolgend aufgezeigten Gründen - als unzumutbar erweist, ist dementsprechend auf eine Erörterung der beiden anderen Kriterien zu verzichten.</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In Bezug auf die allgemeine Sicherheits- und Menschenrechtslage ist festzustellen, dass in Serbien keine Kriegs- oder Bürgerkriegssituation und auch keine Situation allgemeiner Gewalt herrscht, die den Wegweisungsvollzug unzumutbar erscheinen liesse.</w:t>
      </w:r>
    </w:p>
    <w:p>
      <w:r>
        <w:rPr>
          <w:b/>
        </w:rPr>
        <w:t>E. 7.4.2</w:t>
      </w:r>
    </w:p>
    <w:p>
      <w:r>
        <w:t>Allfällige wirtschaftliche Schwierigkeiten, von denen die Beschwerdeführerin und ihre Kinder nach der Rückkehr betroffen sein könnten, stellen grundsätzlich keine die Existenz bedrohende Situation dar, welche den Vollzug der Wegweisung in den Heimatstaat als unzumutbar erscheinen lassen (vgl. EMARK 1994 Nr. 19 S. 149). Indessen ist vorliegend Folgendes zu berücksichtigen: Die Beschwerdeführerin verfügt zwar über eine überdurchschnittlich gute Ausbildung (Gymnasiumabschluss sowie eine Ausbildung als (...); vgl. Akten B1, S. 2). Überdies arbeitete sie als Redakteurin bei einem TV-Sender (vgl. a.a.O., S. 2). Zudem hat sie sich in der Vergangenheit in Serbien aufgehalten und verfügt auch heute noch über gewisse Kontakte zu Personen in Serbien (vgl. Sachverhalt Bst. J). Hingegen hält sie sich seit nahezu sechs Jahren in der Schweiz auf. Daher ist fraglich, ob sie in Serbien auch heute noch auf ein tragfähiges Beziehungsnetz zurückgreifen kann. Aufgrund der Unabhängigkeitserklärung Kosovos - und erst recht, nachdem diese vom Internationalen Gerichtshof (IGH) jüngst bestätigt wurde - dürfte die Beschwerdeführerin und ihre Kinder aufgrund ihrer albanischen Abstammung zudem regelmässig mit ethnisch motivierten Ressentiments der serbischen Bevölkerung konfrontiert sein, zumal dem serbischen Normalbürger nicht bekannt sein kann, dass die Beschwerdeführerin vor über zehn Jahren im Kosovokonflikt - als Mitglied der Kosovarischen Demokratischen Initiative (KDI) - eine pro-serbische Haltung eingenommen hat. Es ist deshalb auch wenig realistisch, dass es namentlich der - ohnehin unter Depressionen leidenden (vgl. Eingabe vom 16. Juni 2010) - Beschwerdeführerin gelingt, als ethnische Albanerin infolge der Einschulung der Kinder soziale Kontakte zu serbischen Familien zu knüpfen. Auch die Kinder dürften es aufgrund ihrer Abstammung schwer haben, Kontakte zu anderen Kindern ihres Alters zu knüpfen und aufrecht zu erhalten. Vor diesem Hintergrund sind auch die Aussichten der Beschwerdeführerin und ihres Ehemannes, sich in Serbien eine wirtschaftliche Existenz aufzubauen, als sehr gering einzuschätzen. Zwar könnten sie in Serbien mit der finanziellen Unterstützung durch den serbischen Staat rechnen. Es wäre daher durchaus denkbar, dass sie sich in einer Grossstadt einigermassen integrieren könnten, dies jedoch unter der Voraussetzung, dass sie dort über ein soziales Netz verfügen. Vorliegend ist ein solches Beziehungsnetz jedoch zu verneinen, was umso wahrscheinlicher gilt, als ihre in Belgrad und Nis wohnhaften Freunde mit Schreiben vom 11. Juni 2010 und 14. Juni 2010 die Lage der Beschwerdeführerin und ihrer Familie bei einer Rückkehr in Serbien als sehr schwierig einschätzen und selber nicht in der Lage seien, sie zu unterstützen, da sie mit Problemen seitens Behörden und Nachbarn konfrontiert würden.</w:t>
      </w:r>
    </w:p>
    <w:p>
      <w:r>
        <w:rPr>
          <w:b/>
        </w:rPr>
        <w:t>E. 7.4.3</w:t>
      </w:r>
    </w:p>
    <w:p>
      <w:r>
        <w:t>In Berücksichtigung der geschilderten Umstände kommt das Bundesverwaltungsgericht zum Schluss, dass der Vollzug der Wegweisung im heutigen Zeitpunkt als unzumutbar im Sinne von Art. 83 Abs. 4 AuG zu qualifizieren ist. Nachdem sich aus den Akten keine Hinweise auf das Vorliegen von Ausschlussgründen im Sinne von Art. 83 Abs. 7 AuG ergeben, sind die Voraussetzungen für die Anordnung der vorläufigen Aufnahme erfüllt.</w:t>
      </w:r>
    </w:p>
    <w:p>
      <w:r>
        <w:rPr>
          <w:b/>
        </w:rPr>
        <w:t>E. 8</w:t>
      </w:r>
    </w:p>
    <w:p>
      <w:r>
        <w:t>Nach dem Gesagten ist die Beschwerde gutzuheissen, soweit sie die Frage des Wegweisungsvollzugs betrifft. Die Ziffern 4 und 5 des Dispositivs der Verfügung des Bundesamtes vom 21. Januar 2005 sind demnach aufzuheben und das BFM ist anzuweisen, die Beschwerdeführerin und ihre Kinder in der Schweiz wegen Unzumutbarkeit des Wegweisungsvollzugs vorläufig aufzunehmen (vgl. Art. 44 Abs. 2 AsylG und Art. 83 Abs. 4 AuG). Im Übrigen ist die Beschwerde abzuweisen.</w:t>
      </w:r>
    </w:p>
    <w:p>
      <w:r>
        <w:rPr>
          <w:b/>
        </w:rPr>
        <w:t>E. 9.1</w:t>
      </w:r>
    </w:p>
    <w:p>
      <w:r>
        <w:t>Bei diesem Ausgang des Verfahrens - zufolge Unterliegens im Asyl- und Wegweisungspunkt - wären der Beschwerdeführerin die hälftigen Verfahrenskosten in der Höhe von Fr. 300.-- aufzuerlegen (Art. 63 Abs. 1 VwVG, Art. 16 Abs. 1 Bst. a VGG i.V.m. Art. 2 und 3 des Reglements vom 21. Februar 2008 über die Kosten und Entschädigungen vor dem Bundesverwaltungsgericht [VGKE, SR 173.320.2)]. Die Beschwerdeführerin ersuchte indessen um Gewährung der unentgeltlichen Rechtspflege. Gemäss Art. 65 Abs. 1 VwVG wird eine Partei, die nicht über die erforderlichen Mittel verfügt, auf Antrag hin von der Bezahlung der Verfahrenskosten befreit, wenn ihr Begehren im Zeitpunkt der Gesuchseinreichung nicht aussichtslos erscheint. Diese Voraussetzungen sind im konkreten Fall erfüllt, da die vorliegende Beschwerde nicht als aussichtslos bezeichnet werden konnte und die Beschwerdeführerin gemäss Aktenlage aktuell bedürftig ist. Das Gesuch um Befreiung von der Bezahlung der Verfahrenskosten ist daher gutzuheissen und auf die hälftigen Verfahrenskosten zu verzichten.</w:t>
      </w:r>
    </w:p>
    <w:p>
      <w:r>
        <w:rPr>
          <w:b/>
        </w:rPr>
        <w:t>E. 9.2</w:t>
      </w:r>
    </w:p>
    <w:p>
      <w:r>
        <w:t>Für das vorliegende Beschwerdeverfahren ist die Parteientschädigung bereits im Verfahren des Ehemannes der Beschwerdeführerin (E-3755/2006) berücksichtigt worden. Es ist daher vom BFM keine weitere 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