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E-4391/2018 vom 11. November 2021</w:t>
      </w:r>
    </w:p>
    <w:p>
      <w:r>
        <w:t>Bundesverwaltungsgericht, 2021-11-11, FR</w:t>
      </w:r>
    </w:p>
    <w:p>
      <w:r>
        <w:rPr>
          <w:b/>
        </w:rPr>
        <w:t xml:space="preserve">Quelle: </w:t>
      </w:r>
      <w:r>
        <w:t>https://mcp.opencaselaw.ch/entscheid/bvger_E-4391_2018</w:t>
      </w:r>
    </w:p>
    <w:p>
      <w:r>
        <w:t>FR: TAF E-4391/2018 du 11 novembre 2021</w:t>
      </w:r>
    </w:p>
    <w:p>
      <w:r>
        <w:t>IT: TAF E-4391/2018 del 11 novembre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LAsi).</w:t>
      </w:r>
    </w:p>
    <w:p>
      <w:r>
        <w:rPr>
          <w:b/>
        </w:rPr>
        <w:t>E. 1.3</w:t>
      </w:r>
    </w:p>
    <w:p>
      <w:r>
        <w:t>L'intéressée a qualité pour recourir ; présenté dans la forme et le délai prescrits par la loi, le recours est recevable (art. 48 al. 1 ainsi que 52 al. 1 PA et anc. art. 108 al. 1 LAsi).</w:t>
      </w:r>
    </w:p>
    <w:p>
      <w:r>
        <w:rPr>
          <w:b/>
        </w:rPr>
        <w:t>E. 1.4</w:t>
      </w:r>
    </w:p>
    <w:p>
      <w:r>
        <w:t>Dans son arrêt, le Tribunal prend en considération l'état de fait existant au moment où il statue (cf. ATAF 2014/1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crédibilité des motifs invoqué par la recourante n'a pas été remise en cause par le SEM ; seule se pose ainsi la question de leur pertinence en matière d'asile.</w:t>
      </w:r>
    </w:p>
    <w:p>
      <w:r>
        <w:rPr>
          <w:b/>
        </w:rPr>
        <w:t>E. 3.2</w:t>
      </w:r>
    </w:p>
    <w:p>
      <w:r>
        <w:t>L'intéressée dit éprouver une crainte fondée de persécution en cas de retour en Turquie.</w:t>
      </w:r>
    </w:p>
    <w:p>
      <w:r>
        <w:rPr>
          <w:b/>
        </w:rPr>
        <w:t>E. 3.2.1</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2010/44 consid. 3.3 et réf. cit. ; 2011/50 consid. 3.1.1 et réf. cit. ; 2010/57 consid. 2.5 ; 2008/12 consid. 5.1).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3.2.2</w:t>
      </w:r>
    </w:p>
    <w:p>
      <w:r>
        <w:t>A titre préliminaire, il y a lieu de relever que l'appréciation du SEM sur la situation intérieure en Turquie et les considérations de la décision attaquée sur une amélioration du respect des droits de l'homme dans ce pays (cf. p. 4 et 5) apparaissent exagérément optimistes et ne dépeignent pas correctement la réalité. S'il a retenu que depuis 2001, la Turquie avait mis en place plusieurs réformes ayant permis « une nette amélioration de la situation en matière de droits de l'homme » et avait introduit, en juin 2005, des « garanties supplémentaires en matière de procédures pénales », il faut relever que l'état d'urgence décrété le 20 juillet 2016, à la suite de la tentative de coup d'Etat survenue peu auparavant et prévu initialement pour une période de 90 jours a sans cesse été prorogé jusqu'au 19 juillet 2018. Plus de 4'000 magistrats ont été suspendus et près d'un demi-million d'arrestations ont été dénombrées, touchant en premier lieu des activistes des droits de l'homme, des journalistes, des magistrats et des députés de l'opposition, en particulier du parti pro-kurde DBP (Parti démocratique des régions) intégré dans la coalition du HPD, en raison de liens supposés avec le PKK. Depuis la tentative de coup d'Etat de juillet 2016, plusieurs responsables du HDP ont été arrêtés et les maires qui en étaient issus démis de leurs fonctions ; le HDP a ainsi fait état de l'arrestation de plus de 5'000 responsables du parti depuis le coup d'Etat manqué, tandis que le DBP en a dénombré plus de 3'000 depuis juillet 2015. La pression sur les partis d'opposition s'est davantage intensifiée ces dernières années, en particulier au regard de leurs bons résultats lors des élections locales en 2019. Le parti présidentiel semble ainsi chercher à diviser l'opposition, notamment en criminalisant et en marginalisant le HDP, et multiplier les actes d'intimidation et d'abus de pouvoir ainsi que les arrestations, y compris à l'encontre de simples membres (cf. arrêt D-2324/2020 du 8 mars 2021 consid. 7.2 et réf. cit.). Dans ces conditions, les députés du HDP ont décidés de ne plus siéger au Parlement. Une procédure d'interdiction du parti a été ouverte par le gouvernement en mars 2021.</w:t>
      </w:r>
    </w:p>
    <w:p>
      <w:r>
        <w:rPr>
          <w:b/>
        </w:rPr>
        <w:t>E. 3.2.3</w:t>
      </w:r>
    </w:p>
    <w:p>
      <w:r>
        <w:t>Cela étant, il ne ressort pas du récit de la recourante qu'elle ait été la cible d'atteintes graves ou soit exposée, en cas de retour, à un risque de persécution. En effet, elle a dû quitter l'université de K._______, puis celle de M._______, en raison de tensions avec d'autres étudiants et la direction de ces établissements, ceci à la suite de son militantisme affiché pour la cause kurde ; ces événements n'ont cependant eu comme conséquence que de l'obliger à poursuivre ses études à N._______, où elle n'aurait plus rencontré les mêmes difficultés. Il apparaît en outre que ses activités pour le HDP, auquel elle n'a d'ailleurs jamais adhéré, et pour l'association « (...) », n'ont été que de courte durée et n'ont pas eu pour elle de conséquences graves. L'intéressée a ainsi subi deux gardes à vue de quelques heures, en (...) 2015 et en (...) ou (...) 2016 ; il ressort de ses dires qu'elle a été interrogée sur la localisation de sa famille, mais secondairement sur ses propres activités (cf. procès-verbal [p-v] de l'audition du 12 juin 2018, questions 28 et 33). Elle n'a subi aucun mauvais traitement et a été remise en liberté, sans qu'une procédure soit ouverte contre elle. Dès lors, il n'est pas crédible qu'elle ait été considérée comme suspecte par les autorités ou maintenue sous surveillance. Le Tribunal constate également, à l'instar du SEM, que l'intéressée n'a pas craint de retourner en Turquie après son déplacement en S._______ en (...) 2016. Il est dès lors clair qu'elle estimait ne pas y courir de risques (cf. p-v de l'audition du 12 juin 2018, question 49). Si la recourante aurait préféré quitter O._______ en (...) 2016, à la suite de la fouille du logement qu'elle partageait avec sa cousine et de la saisie de son passeport, regagnant alors T._______, rien n'indique que cet épisode ait entraîné l'ouverture d'une procédure ou d'une enquête contre elle. A ce sujet, l'intéressée n'a pas non plus rencontré de difficultés durant les huit mois passés à T._______, bien que les accès du village aient été contrôlés militairement. Elle allègue certes qu'il lui aurait suffi de changer régulièrement de lieu de résidence pour échapper aux perquisitions périodiques menées par les soldats (cf. p-v de l'audition du 12 juin 2018, questions 52, 57 et 78). Or, si elle avait réellement été recherchée, ceux-ci n'auraient pas manqué de l'y retrouver par une inspection systématique des lieux, au regard de la taille réduite de son village.</w:t>
      </w:r>
    </w:p>
    <w:p>
      <w:r>
        <w:rPr>
          <w:b/>
        </w:rPr>
        <w:t>E. 3.2.4</w:t>
      </w:r>
    </w:p>
    <w:p>
      <w:r>
        <w:t>Dans ces conditions, on ne saurait admettre l'existence pour l'intéressée d'une crainte fondée de persécution future, celle-là n'ayant jamais été la cible d'une persécution avant son départ et aucun élément ne permettant de retenir que les autorités turques la rechercheraient ou envisageraient de s'en prendre à elle en cas de retour.</w:t>
      </w:r>
    </w:p>
    <w:p>
      <w:r>
        <w:rPr>
          <w:b/>
        </w:rPr>
        <w:t>E. 3.3</w:t>
      </w:r>
    </w:p>
    <w:p>
      <w:r>
        <w:t>Contrairement à ce qu'elle allègue, la recourante n'était pas non plus soumise à une pression psychique insupportable au moment de son départ ; les conditions de celle-ci n'apparaissant pas remplies, faute d'un caractère suffisamment intense et systématique des mesures prises contre elle (cf. ATAF 2010/28 consid. 3.3.1.1 et réf. cit. ; consid. 3.2.3 du présent arrêt).</w:t>
      </w:r>
    </w:p>
    <w:p>
      <w:r>
        <w:rPr>
          <w:b/>
        </w:rPr>
        <w:t>E. 3.4</w:t>
      </w:r>
    </w:p>
    <w:p>
      <w:r>
        <w:t>Par ailleurs, la recourante allègue qu'elle se trouve exposée à un risque de persécution réflexe, en raison de l'engagement politique de plusieurs de ses proches.</w:t>
      </w:r>
    </w:p>
    <w:p>
      <w:r>
        <w:rPr>
          <w:b/>
        </w:rPr>
        <w:t>E. 3.4.1</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D-2814/2013 du 16 décembre 2013 consid. 2.5). Sur la base des informations dont il dispose, le Tribunal n'a pas de raison, actuellement, de considérer ce constat comme obsolète (cf. notamment arrêt E-4122/2012 du 7 janvier 2014 consid. 3.5).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3.4.2</w:t>
      </w:r>
    </w:p>
    <w:p>
      <w:r>
        <w:t>En l'espèce, les conditions posées par la jurisprudence pour retenir l'existence d'un risque de persécution réfléchie ne sont pas réunies. Comme relevé précédemment, la recourante n'a pas subi de préjudices graves jusqu'à son départ en (...) 2017. En dépit des faits que son père a quitté la Turquie et déposé une demande d'asile en Suisse en 2011, puis sa mère et ses frères en 2014 - soit bien avant qu'elle-même ne gagne la Suisse - et qu'elle a, selon ses propres dires (cf. p-v de l'audition du 12 juin 2018, question 28), informé la police que ses proches se trouvaient en Suisse, lors de sa première garde à vue en (...) 2015, la requérante n'a pas vu les autorités turques exercer de persécutions contre elle durant les deux années suivantes, alors qu'elles étaient parfaitement informées de l'exil de ses proches et de l'engagement politique de son père et de son frère F._______, une procédure pénale ayant même été prétendument ouverte à l'encontre de ce dernier. Du reste, dans la mesure où la localisation de la famille de l'intéressée - sujet sur lequel elle a été principalement interrogée - était connue, il n'y avait pas de raison que les autorités turques fassent pression sur elle pour obtenir cette information ; cette situation ne s'est pas modifiée depuis lors. C'est aussi le lieu de rappeler que la mère et les frères de la recourante ont renoncé à être entendus par le SEM et à faire valoir leurs motifs personnels pour obtenir l'asile à titre familial, de sorte que ceux-ci n'ont jamais été appréciés. De plus, la procédure prétendument dirigée contre F._______ remonte à 2015, soit deux ans avant le départ de l'intéressée, qui n'en a pâti d'aucune manière ; il semble qu'elle soit toujours en cours et que la procédure judiciaire ait connu plusieurs renvois. Enfin, si le cas de son père, exilé et reconnu réfugié en 2011, est différent, le fait que l'intéressée a encore vécu six ans en Turquie, sans être la cible d'une persécution, exclut que la situation de celui-ci ait été - et soit encore - de nature à la mettre en danger. Le risque d'une persécution réfléchie ne peut dès lors être retenu (cf. arrêt E-7096/2017 du 21 novembre 2018 consid. 3.5.2 ; D-4389/2018 du 17 août 2018 p. 9 et 10 ; a contrario D-6761/2018 du 26 février 2020 consid. 6).</w:t>
      </w:r>
    </w:p>
    <w:p>
      <w:r>
        <w:rPr>
          <w:b/>
        </w:rPr>
        <w:t>E. 3.5</w:t>
      </w:r>
    </w:p>
    <w:p>
      <w:r>
        <w:t>Enfin, la recourante soutient qu'elle court un risque à cause de son engagement politique en Suisse. Elle a en effet participé en 2018 à quelques rassemblements et manifestations hostiles au gouvernement turc et soutenant la cause kurde dans plusieurs villes de Suisse.</w:t>
      </w:r>
    </w:p>
    <w:p>
      <w:r>
        <w:rPr>
          <w:b/>
        </w:rPr>
        <w:t>E. 3.5.1</w:t>
      </w:r>
    </w:p>
    <w:p>
      <w:r>
        <w:t>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rPr>
          <w:b/>
        </w:rPr>
        <w:t>E. 3.5.2</w:t>
      </w:r>
    </w:p>
    <w:p>
      <w:r>
        <w:t>En l'occurrence, il ne ressort pas des dires de la recourante et des pièces produites qu'elle occupe en Suisse une position dirigeante dans des associations pro-kurdes de nature à attirer plus spécialement sur elle l'attention des autorités turques, ni qu'elle se soit exposée d'une manière particulière lors des manifestations. La description de sa participation ne montre pas qu'elle y jouait un rôle dirigeant (cf. p-v de l'audition du 12 juin 2018, questions 71 à 74). Elle n'apparaît que comme une simple participante sur les photographies prises lors des manifestations en faveur de la cause kurde et n'allègue d'ailleurs pas y avoir pris la parole.</w:t>
      </w:r>
    </w:p>
    <w:p>
      <w:r>
        <w:rPr>
          <w:b/>
        </w:rPr>
        <w:t>E. 3.5.3</w:t>
      </w:r>
    </w:p>
    <w:p>
      <w:r>
        <w:t>Il s'ensuit que l'engagement limité de la recourante en Suisse en faveur de la cause kurde ne paraît pas de nature à l'exposer à de sérieux préjudices au sens de l'art. 3 LAsi et à justifier la reconnaissance de la qualité de réfugié.</w:t>
      </w:r>
    </w:p>
    <w:p>
      <w:r>
        <w:rPr>
          <w:b/>
        </w:rPr>
        <w:t>E. 3.6</w:t>
      </w:r>
    </w:p>
    <w:p>
      <w:r>
        <w:t>Il s'ensuit que le recours doit être rejeté, en tant qu'il conteste le refus de la qualité de réfugié et de l'asile à titre personnel.</w:t>
      </w:r>
    </w:p>
    <w:p>
      <w:r>
        <w:rPr>
          <w:b/>
        </w:rPr>
        <w:t>E. 4.1</w:t>
      </w:r>
    </w:p>
    <w:p>
      <w:r>
        <w:t>Cela étant, ayant contracté mariage avec H._______, dont la demande d'asile est admise par arrêt de ce jour (E-7080/2018), la recourante, ainsi que son enfant, ont droit à l'octroi de l'asile, en application de l'art. 51 al. 1 LAsi. En effet, aux termes de cette disposition, le conjoint d'un réfugié et ses enfants mineurs sont reconnus comme réfugiés et obtiennent l'asile, pour autant qu'aucune circonstance particulière ne s'y oppose (cf. ATAF 2017 VI/4 et jurisp. cit.).</w:t>
      </w:r>
    </w:p>
    <w:p>
      <w:r>
        <w:rPr>
          <w:b/>
        </w:rPr>
        <w:t>E. 4.2</w:t>
      </w:r>
    </w:p>
    <w:p>
      <w:r>
        <w:t>Conformément à la jurisprudence constante relative à l'art. 18 LAsi, une demande d'asile, en tant que demande de protection dans son acception large, englobe aussi bien la demande d'asile au sens de l'art. 3 LAsi que la demande d'asile familial prévue par l'art. 51 LAsi (cf. ATAF 2015/29 consid. 3.1 ; 2007/19 consid. 3.3 ; 2015/40 consid. 3.4.4.1). Selon la règle posée par l'art. 37 de l'ordonnance 1 du 11 août 1999 sur l'asile (OA 1, RS 142.311), l'autorité procède d'abord à l'examen de la qualité de réfugié à titre originaire, puis à l'examen de la qualité de réfugié à titre dérivé (cf. arrêt E-1813/2019 du 1er juillet 2020 consid. 8.2 et réf. cit ; E-2502/2018 du 9 mai 2018 p. 4 et réf. cit., dont JICRA 2000 n° 27).</w:t>
      </w:r>
    </w:p>
    <w:p>
      <w:r>
        <w:rPr>
          <w:b/>
        </w:rPr>
        <w:t>E. 4.3</w:t>
      </w:r>
    </w:p>
    <w:p>
      <w:r>
        <w:t>En l'occurrence, les intéressés sont mariés, la recourante ayant de surcroît donné naissance à un enfant. Tous deux se trouvant en Suisse, il faut et il suffit qu'ils forment un ménage commun et mènent une vie familiale stable (cf. JICRA 2000 n° 22). Enfin, aucune circonstance particulière au sens de l'art. 51 al. 1 LAsi ne s'oppose à l'octroi de l'asile familial.</w:t>
      </w:r>
    </w:p>
    <w:p>
      <w:r>
        <w:rPr>
          <w:b/>
        </w:rPr>
        <w:t>E. 4.4</w:t>
      </w:r>
    </w:p>
    <w:p>
      <w:r>
        <w:t>Dans ces conditions, le Tribunal admet que l'asile familial peut être accordé à la recourante, ainsi qu'à son enfant, en application de l'art. 51 al. 1 LAsi.</w:t>
      </w:r>
    </w:p>
    <w:p>
      <w:r>
        <w:rPr>
          <w:b/>
        </w:rPr>
        <w:t>E. 5.1</w:t>
      </w:r>
    </w:p>
    <w:p>
      <w:r>
        <w:t>La recourante ayant gain de cause sur ses conclusions visant à l'octroi de l'asile et au non-renvoi de Suisse (art. 63 al. 3 PA), il n'en est pas perçu de frais de procédure.</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L'octroi de l'asile à l'intéressée ne découle pas des mérites du recours, mais d'un fait extérieur à la présente procédure, à savoir son mariage et l'octroi de l'asile à titre originaire à son époux. En conséquence, il y aurait lieu de lui attribuer des dépens compensant les frais nécessités pour informer le Tribunal de ce changement d'état civil.</w:t>
      </w:r>
    </w:p>
    <w:p>
      <w:r>
        <w:rPr>
          <w:b/>
        </w:rPr>
        <w:t>E. 5.4</w:t>
      </w:r>
    </w:p>
    <w:p>
      <w:r>
        <w:t>Les dépens sont fixés sur la base de la note de frais ou, à défaut, du dossier (art. 14 al. 1 et 2 du règlement du 21 février 2008 concernant les frais, dépens et indemnités fixés par le Tribunal administratif fédéral [FITAF, RS173.320.2]). Le tarif horaire applicable aux avocats est de 200 à 400 francs (art. 10 al. 2 FITAF). En l'espèce, la mandataire a déposé une note de frais. Il en ressort en particulier que la transmission au Tribunal des renseignements relatifs au mariage de la recourante (envoi d'une courte lettre et d'extraits du certificat de famille joints en annexe) a nécessité un quart d'heure de travail au tarif horaire de 250 francs, soit 62,50 francs de frais. En raison de la modicité de cette somme, il est toutefois renoncé à allouer des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