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E-438/2016 vom 5. September 2016</w:t>
      </w:r>
    </w:p>
    <w:p>
      <w:r>
        <w:t>Bundesverwaltungsgericht, 2016-09-05, DE</w:t>
      </w:r>
    </w:p>
    <w:p>
      <w:r>
        <w:rPr>
          <w:b/>
        </w:rPr>
        <w:t xml:space="preserve">Quelle: </w:t>
      </w:r>
      <w:r>
        <w:t>https://mcp.opencaselaw.ch/entscheid/bvger_E-438_2016</w:t>
      </w:r>
    </w:p>
    <w:p>
      <w:r>
        <w:t>FR: TAF E-438/2016 du 5 septembre 2016</w:t>
      </w:r>
    </w:p>
    <w:p>
      <w:r>
        <w:t>IT: TAF E-438/2016 del 5 settembre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w:t>
      </w:r>
    </w:p>
    <w:p>
      <w:r>
        <w:rPr>
          <w:b/>
        </w:rPr>
        <w:t>E. 3.3</w:t>
      </w:r>
    </w:p>
    <w:p>
      <w:r>
        <w:t>Die Vorinstanz begründet ihren Entscheid im Asylpunkt im Wesentlichen mit der Unglaubhaftigkeit der potenziell asylrelevanten Asylvorbringen des Beschwerdeführers. Dieser Auffassung wird in der Beschwerdeschrift widersprochen.</w:t>
      </w:r>
    </w:p>
    <w:p>
      <w:r>
        <w:rPr>
          <w:b/>
        </w:rPr>
        <w:t>E. 3.4</w:t>
      </w:r>
    </w:p>
    <w:p>
      <w:r>
        <w:t>Nach Sichtung der Akten kommt das Bundesverwaltungsgericht zum Schluss, dass die Vorinstanz zu Recht von der Unglaubhaftigkeit der Asylvorbringen des Beschwerdeführers ausgegangen ist. Neben den zutreffenden Erwägungen der Vorinstanz fallen zahlreiche weitere Unglaubhaftigkeitselemente ins Auge, welche nachfolgend summarisch darzulegen sind.</w:t>
      </w:r>
    </w:p>
    <w:p>
      <w:r>
        <w:rPr>
          <w:b/>
        </w:rPr>
        <w:t>E. 3.4.1</w:t>
      </w:r>
    </w:p>
    <w:p>
      <w:r>
        <w:t>Schon der Umstand, dass der Beschwerdeführer in seinem Asylverfahren in Verletzung seiner Mitwirkungspflichten (Art. 8 Abs. 1 Bst. a AsylG) lediglich Kopien von - offenbar gefälschten - Identitätsdokumenten eingereicht hat, lässt an seinen Asylvorbringen zweifeln. Es lassen sich aufgrund der vorliegenden Akten weder seine Identität noch seine Herkunft mit hinreichender Sicherheit feststellen. Dies fällt umso stärker ins Gewicht, als der Beschwerdeführer in den Anhörungen keine plausiblen Gründe vorbringen konnte, die erklären würden, weshalb es ihm unmöglich gewesen sein soll, authentische Identitätsdokumente einzureichen. Ausserdem wurde im Arztbericht vom 26. November 2015 festgehalten, dass gewisse Zweifel am behaupteten Alter bestünden (vgl. Akten des Asylverfahrens, A17/4).</w:t>
      </w:r>
    </w:p>
    <w:p>
      <w:r>
        <w:rPr>
          <w:b/>
        </w:rPr>
        <w:t>E. 3.4.2</w:t>
      </w:r>
    </w:p>
    <w:p>
      <w:r>
        <w:t>Den Ausführungen des Beschwerdeführers in den Anhörungen mangelt es überdies durchwegs an Realitätsnähe. Schon die Eheschliessung und die Schwangerschaft seiner angeblichen Ehefrau sind äusserst zweifelhaft. Es scheint realitätsfremd, dass eine in einer konservativen muslimischen Familie sozialisierte Frau den katholischen Beschwerdeführer ohne das Einverständnis ihrer Eltern kurzerhand geheiratet haben will. Noch befremdlicher wirkt allerdings, dass der Beschwerdeführer nach der Rückkehr seiner angeblichen Ehefrau zu ihren Eltern keinen Kontakt mehr mit ihr gehabt hat, heute weder über ihren Verbleib noch über das Schicksal seines Kindes Informationen besitzt, und sich offenbar auch nicht um solche bemüht hat (vgl. Akten des Asylverfahrens, A4/12, F 7.02; A15/19, F 60, F 79-80, F 101-104, F 149).</w:t>
      </w:r>
    </w:p>
    <w:p>
      <w:r>
        <w:rPr>
          <w:b/>
        </w:rPr>
        <w:t>E. 3.4.3</w:t>
      </w:r>
    </w:p>
    <w:p>
      <w:r>
        <w:t>Der Beschwerdeführer hat darüber hinaus nie schlüssig darlegen können, wie es zum Niederbrennen seines Ladens und zur Zerstörung seiner Wohnung gekommen sein soll. Seine Aussage, die Eltern seiner angeblichen Ehefrau seien zu einem "King" gegangen, welcher die "muslimische Jugend" aufgehetzt habe (vgl. Akten des Asylverfahrens, A4/12, F 7.01), basieren auf reinen Mutmassungen. Die diesbezügliche Erklärung, er habe andernorts "von einer solchen Situation gehört" (vgl. Akten des Asylverfahrens, A15/19, F 142) lässt ebenso wie die durchwegs fehlenden Realkennzeichen vermuten, dass die gesamten Asylvorbringen auf Geschehnissen beruhen, die der Beschwerdeführer lediglich vom Hörensagen kannte, nicht aber selbst erlebt hat.</w:t>
      </w:r>
    </w:p>
    <w:p>
      <w:r>
        <w:rPr>
          <w:b/>
        </w:rPr>
        <w:t>E. 3.4.4</w:t>
      </w:r>
    </w:p>
    <w:p>
      <w:r>
        <w:t>Dieser Eindruck wird bestätigt durch gewisse Äusserungen des Beschwerdeführers, die offensichtlich jeglicher Grundlage entbehren: So machte er etwa geltend, er habe sich nicht länger bei der Polizei aufhalten können, weil die "muslimische Jugend" sonst das Polizeigebäude niedergebrannt hätte (vgl. Akten des Asylverfahrens, A15/19, F 108). Diese Aussage ist zwar schon für sich genommen kühn, erstaunt aber umso mehr, als der Beschwerdeführer nicht zu erklären vermag, wie der angebliche Mob von seinem Aufenthalt bei der Polizei hätte wissen sollen.</w:t>
      </w:r>
    </w:p>
    <w:p>
      <w:r>
        <w:rPr>
          <w:b/>
        </w:rPr>
        <w:t>E. 3.4.5</w:t>
      </w:r>
    </w:p>
    <w:p>
      <w:r>
        <w:t>Auch die angebliche Homosexualität des Beschwerdeführers ist aufgrund der diesbezüglich dünnen und nicht näher substantiierten Angaben in den Anhörungen nicht glaubhaft (vgl. Akten des Asylverfahrens, A15/19, F 154-162).</w:t>
      </w:r>
    </w:p>
    <w:p>
      <w:r>
        <w:rPr>
          <w:b/>
        </w:rPr>
        <w:t>E. 3.5</w:t>
      </w:r>
    </w:p>
    <w:p>
      <w:r>
        <w:t>Aufgrund der vorstehenden Erwägungen ist mit der Vorinstanz von der Unglaubhaftigkeit der Asylvorbringen des Beschwerdeführers auszugehen, weshalb deren Asylrelevanz nicht geprüft werden muss.</w:t>
      </w:r>
    </w:p>
    <w:p>
      <w:r>
        <w:rPr>
          <w:b/>
        </w:rPr>
        <w:t>E. 4</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5</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5.1</w:t>
      </w:r>
    </w:p>
    <w:p>
      <w:r>
        <w:t>Der Vollzug ist nicht zulässig, wenn völkerrechtliche Verpflichtungen der Schweiz einer Weiterreise der Ausländerin oder des Ausländers in den Heimat-, Herkunfts- oder einen Drittstaat entgegenstehen (Art. 83 Abs. 3 AuG). Da dem Beschwerdeführer die Flüchtlingseigenschaft nicht zukommt, ist das flüchtlingsrechtliche Rückschiebungsverbot von Art. 33 Abs. 1 FK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 w. H.). Wie oben festgestellt worden ist, sind die wesentlichen Asylvorbringen des Beschwerdeführers als unglaubhaft zu qualifizieren. Entgegen den Ausführungen des Beschwerdeführers im vorliegenden Verfahren ergeben sich deshalb weder aus den Aussagen des Beschwerdeführers noch aus den Akten Anhaltspunkte dafür, dass er für den Fall einer Ausschaffung nach Nigeria dort mit beachtlicher Wahrscheinlichkeit einer nach Art. 3 EMRK oder Art. 1 FoK verbotenen Strafe oder Behandlung ausgesetzt wäre. Auch die allgemeine Menschenrechtssituation in Nigeria lässt den Wegweisungsvollzug zum heutigen Zeitpunkt nicht als unzulässig erscheinen (vgl. zuletzt Urteil des BVGer E-4879/2016 vom 23. August 2016, S. 9). Nach dem Gesagten ist der Vollzug der Wegweisung sowohl im Sinne der asyl- als auch der völkerrechtlichen Bestimmungen zulässig.</w:t>
      </w:r>
    </w:p>
    <w:p>
      <w:r>
        <w:rPr>
          <w:b/>
        </w:rPr>
        <w:t>E. 5.2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In Bezug auf Nigeria geht das Bundesverwaltungsgericht davon aus, dass keine Situation allgemeiner Gewalt herrscht (vgl. Urteil des BVGer E-2066/2016 vom 15. August 2016, E. 5.3). Die geringfügigen medizinischen Probleme des Beschwerdeführers (vgl. Akten des Asylverfahrens, A15/19, F 64-69) stehen einer Rückkehr nach Nigeria nicht im Weg, zumal mit ärztlichem Bericht vom 26. November 2015 festgestellt worden ist, dass eine medizinische Behandlung in Nigeria möglich ist, und der Beschwerdeführer dort offenbar auch schon behandelt wurde (vgl. Akten des Asylverfahrens, A17/4). Ausserdem ist zu erwarten, dass sich der Beschwerdeführer auch beruflich und sozial schnell wieder integrieren kann, zumal er in Nigeria mit elektronischen Apparaturen gehandelt hat (vgl. Akten des Asylverfahrens, A15/19, F 36) und über verschiedene Freunde verfügt.</w:t>
      </w:r>
    </w:p>
    <w:p>
      <w:r>
        <w:rPr>
          <w:b/>
        </w:rPr>
        <w:t>E. 5.3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5.4</w:t>
      </w:r>
    </w:p>
    <w:p>
      <w:r>
        <w:t>Zusammenfassend hat die Vorinstanz den Wegweisungsvollzug zu Recht als zulässig, zumutbar und möglich bezeichnet. Eine Anordnung der vorläufigen Aufnahme fällt somit ausser Betracht (Art. 83 Abs. 1-4 AuG).</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7.1</w:t>
      </w:r>
    </w:p>
    <w:p>
      <w:r>
        <w:t>Der Beschwerdeführer hat seine prozessuale Bedürftigkeit im vorliegenden Verfahren nie ausgewiesen, was aber Voraussetzung für die Gewährung der unentgeltlichen Rechtspflege (Art. 65 Abs. 1 VwVG) wäre. Die gestellten Begehren erweisen sich zudem als aussichtslos, weshalb das Gesuch um Gewährung der unentgeltlichen Rechtspflege abzuweisen ist.</w:t>
      </w:r>
    </w:p>
    <w:p>
      <w:r>
        <w:rPr>
          <w:b/>
        </w:rPr>
        <w:t>E. 7.2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