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E-4386/2013 vom 14. November 2013</w:t>
      </w:r>
    </w:p>
    <w:p>
      <w:r>
        <w:t>Bundesverwaltungsgericht, 2013-11-14, DE</w:t>
      </w:r>
    </w:p>
    <w:p>
      <w:r>
        <w:rPr>
          <w:b/>
        </w:rPr>
        <w:t xml:space="preserve">Quelle: </w:t>
      </w:r>
      <w:r>
        <w:t>https://mcp.opencaselaw.ch/entscheid/bvger_E-4386_2013</w:t>
      </w:r>
    </w:p>
    <w:p>
      <w:r>
        <w:t>FR: TAF E-4386/2013 du 14 novembre 2013</w:t>
      </w:r>
    </w:p>
    <w:p>
      <w:r>
        <w:t>IT: TAF E-4386/2013 del 14 novembre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1 AsylG und Art. 52 VwVG)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Umständen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abzuklären. Die Vorinstanz geht damit selbst davon aus, dass der Sachverhalt, wie er der Verfügung vom 8. Juli 2013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Der Antrag auf unentgeltliche Rechtspflege (Art. 65 Abs. 1 VwVG) ist damit gegenstandslos geworden.</w:t>
      </w:r>
    </w:p>
    <w:p>
      <w:r>
        <w:rPr>
          <w:b/>
        </w:rPr>
        <w:t>E. 4.2</w:t>
      </w:r>
    </w:p>
    <w:p>
      <w:r>
        <w:t>Der Beschwerdeführer beantragt, es sei ihm ein unentgeltlicher Rechtsbeistand beizugeben. Wenn es zur Wahrung ihrer Rechte notwendig ist, bestellt die Beschwerdeinstanz der Partei einen Anwalt (Art. 65 Abs. 2 VwVG). Es ist nicht ersichtlich, inwiefern eine Verbeiständung für das Beschwerdeverfahren notwendig wäre, und solches wird mit dem nicht näher begründeten Hinweis auf "Komplexität und Rechtsunkenntnis" auch nicht darlegt, zumal das Bundesverwaltungsgericht über volle Kognition verfügt. Dem Antrag auf unentgeltliche Verbeiständung ist somit abzuweisen.</w:t>
      </w:r>
    </w:p>
    <w:p>
      <w:r>
        <w:rPr>
          <w:b/>
        </w:rPr>
        <w:t>E. 4.3</w:t>
      </w:r>
    </w:p>
    <w:p>
      <w:r>
        <w:t>Die Beschwerdeinstanz kann der ganz oder teilweise obsiegenden Partei von Amtes wegen oder auf Begehren eine Entschädigung für ihr erwachsene notwendige und verhältnismässig hohe Kosten zusprechen (Art. 64 Abs. 1 VwVG). Einerseits gilt der Beschwerdeführer insoweit als obsiegende Partei, als seinem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lässt sich die Sachlage und damit die prozessualen Erfolgsaussichten der Beschwerde auch im Zeitpunkt ihrer Einreichung nicht näher bestimmen. In Anwendung der gesetzlichen Bemessungsfaktoren und angesichts der besonderen Umstände erscheint eine (pauschalisierende) Parteientschädigung von Fr. 1'600.-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