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E-4370/2013 vom 24. Januar 2014</w:t>
      </w:r>
    </w:p>
    <w:p>
      <w:r>
        <w:t>Bundesverwaltungsgericht, 2014-01-24, DE</w:t>
      </w:r>
    </w:p>
    <w:p>
      <w:r>
        <w:rPr>
          <w:b/>
        </w:rPr>
        <w:t xml:space="preserve">Quelle: </w:t>
      </w:r>
      <w:r>
        <w:t>https://mcp.opencaselaw.ch/entscheid/bvger_E-4370_2013</w:t>
      </w:r>
    </w:p>
    <w:p>
      <w:r>
        <w:t>FR: TAF E-4370/2013 du 24 janvier 2014</w:t>
      </w:r>
    </w:p>
    <w:p>
      <w:r>
        <w:t>IT: TAF E-4370/2013 del 24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wenn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Die Vorinstanz hat Art. 108 Abs. 2 AsylG in der seit dem 29. September 2012 geltenden Fassung auf den vorliegenden Fall zu Recht angewendet. Da der Beschwerdeführerin eine Beschwerdeerhebung innert der (verkürzten neuen) Frist möglich war, stand die Frist gemäss Art. 108 Abs. 2 AsylG einer sachgerechten Anfechtung nicht entgegen. Jedoch ist die Vorinstanz in diesem Zusammenhang anzuhalten, in der Begründung ihrer Verfügung zur Vorbeugung von Missverständnissen und aus Gründen der Rechtssicherheit und Transparenz inskünftig einen Hinweis auf die verkürzte Rechtsmittelfrist gemäss Art. 108 Abs. 2 AsylG in Verbindung mit Art. 40 und auf Art. 6a Abs. 2 Bst. a AsylG aufzunehmen.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Gericht gelangt, wie zuvor schon das Bundesamt, zum Schluss, dass die Asylvorbringen den Anforderungen an die Glaubhaftigkeit nicht zu genügen vermögen. Die Argumentation der Vorinstanz, die Aussagen der Beschwerdeführerin und B._______ seien in ihrer Gesamtheit nicht plausibel, in zentralen Punkten widersprüchlich und undifferenziert ausgefallen, erweist sich nach einer Durchsicht der Protokolle als zutreffend. Insbesondere haben die Beschwerdeführerin und B._______ zum Zeitpunkt des Beginns ihrer Schwierigkeiten mit den Stiefkindern respektive Stiefgeschwistern widersprüchliche Aussagen gemacht. Auch waren sie nicht imstande, einigermassen präzise Angaben zum Zeitpunkt des Auftauchens des (...) zu machen, obwohl dieses Ereignis für die Beschwerdeführerin gravierende Folge gehabt haben soll und von einer solchermassen betroffenen Person substanziiertere Aussagen erwartet werden dürfen. Des Weiteren erscheint in der Tat nicht nachvollziehbar, dass sich die Be-schwerdeführerin nicht viel früher darum bemüht hat, aus dieser Situation herauszukommen, indem sie beispielsweise die Behörden oder ihre im Heimatstaat wohnhaften (...) um Hilfe ersuchte. Ihre Entgegnung, sie und B._______ seien wie Gefangene gehalten und ständig überwacht worden, vermag angesichts ihrer Aussage, sie habe die Felder ihres verstorbenen Lebensgefährten bewirtschaftet (vgl. Akten BFM A 7/14 S. 3 Frage 12), und der Aussage von B._______, (...) sei unregelmässig zur Schule gegangen (vgl. A 8/11 S. 2 Frage 4), nicht zu überzeugen. Hinzu kommt, dass die Vorbringen zu den Fluchtumständen (die Stiefkin-der respektive Stiefgeschwister hätten sich am Abend des [...] entgegen ihren Gewohnheiten im oberen Stockwerk aufgehalten) realitätsfremd sind. Als nicht glaubhaft erweisen sich auch die Vorbringen der Beschwerdeführerin zu den Umständen der Ausreise, weil sie bei der Be-fragung anführte, sie und B._______ seien nach der Flucht drei Stunden zu Fuss unterwegs gewesen, bevor sie (...) getroffen hätten, (...) sie in die Schweiz gefahren habe. Im Widerspruch dazu machte sie bei der Anhörung geltend, sie und B._______ seien am Abend des (...) zwischen (...) Uhr und (...) Uhr geflüchtet und erst am nächsten Morgen um (...) Uhr auf (...) gestossen. Auch hat das Bundesamt in diesem Zusammenhang zu Recht festgestellt, der Umstand, dass weder die Beschwerdeführerin noch B._______ in der Lage gewesen seien, den Ort der Begegnung mit (...) anzugeben, unterstreiche die fehlende Glaubhaftigkeit ihrer Vorbringen zum Reiseweg.</w:t>
      </w:r>
    </w:p>
    <w:p>
      <w:r>
        <w:rPr>
          <w:b/>
        </w:rPr>
        <w:t>E. 5.2</w:t>
      </w:r>
    </w:p>
    <w:p>
      <w:r>
        <w:t>Unbesehen davon ist festzustellen, dass die gesuchsbegründenden Aussagen auch den Anforderungen an die Flüchtlingseigenschaft nicht zu genügen vermögen. Die Beschwerdeführerin und B._______ berufen sich auf eine rein private Verfolgungssituation, welche keinerlei flüchtlingsrechtlich relevante Motivation erkennen lässt und daher - wie etwa kriminelle Akte Dritter oder Abrechnungen unter verfeindeten Privatpersonen - nicht asylrelevant ist (vgl. dazu WALTER KÄLIN, Grundriss des Asylverfahrens, Basel/Frankfurt a. M. 1990, S. 60 ff.; ALBERTO ACHERMANN/CHRISTINA HAUSAMMANN, Handbuch des Asylrechts, Bern/Stuttgart 1991, S. 82 ff.). Die Beschwerdeführerin hat es unterlassen, die gemeinrechtlichen Nachstellungen seitens ihrer Stiefkinder und (...) zur Anzeige zu bringen, obwohl ihr dies ohne weiteres möglich und auch zumutbar gewesen wäre. Anhaltspunkte dafür, die Strafbehörden von Bosnien und Herzegowina, das mit Beschluss des Bundesrates vom 1. August 2003 zu einem verfolgungssicheren Staat (Safe Country) erklärt wurde, seien nicht willens oder nicht in der Lage, nach einer erfolgten Anzeige durch die Beschwerdeführerin entsprechende Ermittlungen einzuleiten und diese strafbaren Handlungen bei erstellter Beweislage zu ahnden, liegen keine vor.</w:t>
      </w:r>
    </w:p>
    <w:p>
      <w:r>
        <w:rPr>
          <w:b/>
        </w:rPr>
        <w:t>E. 5.3</w:t>
      </w:r>
    </w:p>
    <w:p>
      <w:r>
        <w:t>Die Rechtsmitteleingabe ist nicht geeignet, an den Feststellungen des Bundesamtes etwas zu ändern; sie erschöpft sich darin, die gesuchsbegründenden Aussagen zu bekräftigen, ohne in substanziierter und detaillierter Weise zu den Erwägungen in der angefochtenen Verfügung Stellung zu nehmen.</w:t>
      </w:r>
    </w:p>
    <w:p>
      <w:r>
        <w:rPr>
          <w:b/>
        </w:rPr>
        <w:t>E. 5.4</w:t>
      </w:r>
    </w:p>
    <w:p>
      <w:r>
        <w:t>Der Beschwerdeführerin und B._______ ist es nicht gelungen, flüchtlingsrelevante Gründe darzutun, weshalb das BFM die Asylgesuche zu Recht abgelehnt hat.</w:t>
      </w:r>
    </w:p>
    <w:p>
      <w:r>
        <w:rPr>
          <w:b/>
        </w:rPr>
        <w:t>E. 6</w:t>
      </w:r>
    </w:p>
    <w:p>
      <w:r>
        <w:t>Lehnt das Bundesamt das Asylgesuch ab oder tritt es darauf nicht ein, so verfügt es in der Regel die Wegweisung aus der Schweiz und ordnet den Vollzug an. Die Beschwerdeführerin und B._______ verfügen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AuG ist der Vollzug nicht zulässig, wenn völker-rechtliche Verpflichtungen der Schweiz einer Weiterreise des Ausländers in den Heimat-, Herkunfts- oder einen Drittstaat entgegenstehen. Da der Beschwerdeführerin und B._______ keine Flüchtlingseigenschaft zukommt,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die Beschwerdeführerin oder B._______ wären im Falle einer Ausschaffung in den Heimatstaat dort mit beachtlicher Wahrscheinlichkeit einer verbotenen Strafe oder Behandlung ausgesetzt. Der Wegweisungsvollzug erweist sich bei dieser Sachlage als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Angesichts der heutigen Lage in Bosnien und Herzegowina kann nicht von einer Situation allgemeiner Gewalt oder von kriegerischen oder bürgerkriegsähnlichen Verhältnissen gesprochen werden. In den Akten finden sich auch keine konkreten Anhaltspunkte dafür, die Beschwerdeführerin oder B._______ gerieten bei einer Rückkehr aus individuellen Gründen in eine existenzbedrohende Situation, zumal sie jung sind und mit ihren Verwandten im Heimatstaat über ein familiäres Beziehungsnetz verfügen. Des Weiteren verfügt die Beschwerdeführerin über mehrere (...) im Ausland, die sie bei Bedarf finanziell unterstützen können. Hinsichtlich der geltend gemachten (...)beschwerden bleibt es ihr unbenommen, sich in Bosnien und Herzegowina in ärztliche Behandlung zu begeben. Zum weiteren Vorbringen der Beschwerdeführerin, sie und B._______ benötigten eine Therapie, weil sie psychisch schwer angeschlagen respektive sehr verängstigt (B._______) seien, ist festzuhalten, dass entsprechende Therapie- und Behandlungsmöglichkeiten in Bosnien und Herzegowina vorhanden sind; im Übrigen findet sich in den Akten keinerlei Stütze (etwa Belege für ärztliche Konsultationen) für diese Behauptung. Schliesslich steht einer zusammen mit (...) Mutter erfolgenden Rückkehr von B._______ in das Heimatland auch unter dem Aspekt des Kindeswohls (Art. 3 Abs. 1 des Übereinkommens vom 20. November 1989 über die Rechte des Kindes [KRK, SR 0.107]) nichts im Wege. Damit erweist sich der Vollzug der Wegweisung auch als zumutbar.</w:t>
      </w:r>
    </w:p>
    <w:p>
      <w:r>
        <w:rPr>
          <w:b/>
        </w:rPr>
        <w:t>E. 7.4</w:t>
      </w:r>
    </w:p>
    <w:p>
      <w:r>
        <w:t>Schliesslich obliegt es der Beschwerdeführerin und B._______, sich bei der zuständigen Vertretung des Heimatstaates die für eine Rückkehr notwendigen Reisedokumente zu beschaffen (Art. 8 Abs. 4 AsylG; vgl. BVGE 2008/34 E. 12 S. 513-515),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Bei diesem Ausgang des Verfahrens wären die Kosten der Beschwerdeführerin aufzuerlegen (Art. 63 Abs. 1 VwVG). Aufgrund der Akten ergibt sich indessen, dass nach wie vor von ihrer prozessualen Bedürftigkeit auszugehen ist, weshalb die am 19. September 2013 verfügte Gutheissung des Antrags auf Erlass der Verfahrenskosten (Art. 65 Abs. 1 VwVG) zu bestätigen und sie von der Bezahlung der Verfahrenskosten zu befreien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