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E-4368/2009 vom 21. Februar 2011</w:t>
      </w:r>
    </w:p>
    <w:p>
      <w:r>
        <w:t>Bundesverwaltungsgericht, 2011-02-21, DE</w:t>
      </w:r>
    </w:p>
    <w:p>
      <w:r>
        <w:rPr>
          <w:b/>
        </w:rPr>
        <w:t xml:space="preserve">Quelle: </w:t>
      </w:r>
      <w:r>
        <w:t>https://mcp.opencaselaw.ch/entscheid/bvger_E-4368_2009</w:t>
      </w:r>
    </w:p>
    <w:p>
      <w:r>
        <w:t>FR: TAF E-4368/2009 du 21 février 2011</w:t>
      </w:r>
    </w:p>
    <w:p>
      <w:r>
        <w:t>IT: TAF E-4368/2009 del 21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 Die Beschwerde ist frist- und (nach Eingang der Beschwerde­ver­bes­se­rung)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Bundesverwaltungsgericht hat im vorliegenden Verfahren in Anwen­dung von Art.111a Abs. 1 AsylG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so wird die asylsuchende Per­son von der Vertretung aufgefordert, ihre Asylgründe schriftlich fest­zu­halten (Art. 10 Abs. 2 AsylV 1).</w:t>
      </w:r>
    </w:p>
    <w:p>
      <w:r>
        <w:rPr>
          <w:b/>
        </w:rPr>
        <w:t>E. 4.2</w:t>
      </w:r>
    </w:p>
    <w:p>
      <w:r>
        <w:t>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(vgl. a.a.O. E. 5.4). Eine Befragung bezie­hungsweise schriftliche Sachverhalts­abklärung kann sich auch dann erübrigen, wenn der Sachver­halt bereits auf­grund des ein­gereichten Asylgesuchs als entscheid­reif erstellt er­scheint (vgl. hierzu a.a.O. E. 5.7).</w:t>
      </w:r>
    </w:p>
    <w:p>
      <w:r>
        <w:rPr>
          <w:b/>
        </w:rPr>
        <w:t>E. 4.3</w:t>
      </w:r>
    </w:p>
    <w:p>
      <w:r>
        <w:t>Vorliegend wurden die Beschwerdeführenden durch die Schwei­zer Bot­schaft mittels eines individuell an sie gerichteten Schreibens vom 12. November 2008 aufgefordert, die Asylgründe detailliert zu schildern und die zur Ermittlung des massgeblichen Sachver­halts relevanten Beweis­mittel zu den Akten zu reichen.</w:t>
      </w:r>
    </w:p>
    <w:p>
      <w:r>
        <w:rPr>
          <w:b/>
        </w:rPr>
        <w:t>E. 4.3.1</w:t>
      </w:r>
    </w:p>
    <w:p>
      <w:r>
        <w:t>Die Beschwerdeführenden haben auf Rekursebene - auch sinnge­mäss oder ansatzweise - mit keinem Wort geltend gemacht, das Asylverfah­ren vor dem BFM sei in irgendeiner Weise nicht korrekt abgelau­fen oder ihre prozessualen Rechte seien durch die Vorinstanz ver­letzt worden. Sie haben ihre persönliche Situation im erst- und im zwei­tinstanzlichen Verfahren in zahlreichen Eingaben detailliert geschil­dert und mit verschiedenen Beweismitteln unterlegt.</w:t>
      </w:r>
    </w:p>
    <w:p>
      <w:r>
        <w:rPr>
          <w:b/>
        </w:rPr>
        <w:t>E. 4.3.2</w:t>
      </w:r>
    </w:p>
    <w:p>
      <w:r>
        <w:t>Das Bundesverwaltungsgericht beurteilt den rechtserheblichen Sach­verhalt bei dieser Aktenlage als hinreichend er­stellt.</w:t>
      </w:r>
    </w:p>
    <w:p>
      <w:r>
        <w:rPr>
          <w:b/>
        </w:rPr>
        <w:t>E. 5</w:t>
      </w:r>
    </w:p>
    <w:p>
      <w:r>
        <w:t>Damit ist zu prüfen, ob das Bundesamt zu Recht das Asylgesuch ab­gewie­sen und den Beschwerdeführenden die Einreise in die Schweiz ver­weigert hat.</w:t>
      </w:r>
    </w:p>
    <w:p>
      <w:r>
        <w:rPr>
          <w:b/>
        </w:rPr>
        <w:t>E. 5.1</w:t>
      </w:r>
    </w:p>
    <w:p>
      <w:r>
        <w:t>Das BFM kann ein im Ausland gestelltes Gesuch ablehnen, wenn die asylsuchenden Personen keine Verfolgung glaubhaft machen können oder ihnen die Aufnahme in einem Drittstaat zugemutet werden kann (vgl. Art. 3, Art. 7 und 52 [Abs. 2] AsylG). Gemäss Art. 20 Abs. 2 AsylG be­will­ligt das BFM Asylsuchenden die Einreise zur Abklärung des Sachverhalts, wenn es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Schweizerischen Asylrekurskommission [EMARK] 1997 Nr. 15, insbesondere S. 131 ff., welcher angesichts bloss redaktioneller Änderungen bei der letzten Totalrevision des Asylgesetzes nach wie vor Gültigkeit hat). Ausschlaggebend für die Erteilung einer Einreise­be­will­li­gung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w:t>
      </w:r>
    </w:p>
    <w:p>
      <w:r>
        <w:rPr>
          <w:b/>
        </w:rPr>
        <w:t>E. 5.3</w:t>
      </w:r>
    </w:p>
    <w:p>
      <w:r>
        <w:t>Die Vorinstanz hat erstens zu Recht darauf hingewiesen, dass sich die Beschwerdeführenden den Bedrohungen durch die Paramilitärs in ihrer Heimatregion immer wieder durch Nutzen innerstaatlicher Aus­weich­möglichkeiten entziehen konnten. Den Akten sind keine konkreten Hinweise auf Gründe zu entnehmen, aufgrund derer ihnen dies in Zukunft nicht mehr möglich sein sollte. Es ist deshalb davon auszugehen, dass es den Beschwerdeführenden weiterhin möglich und zumutbar wäre, allfälli­gen Nachstellungen innerhalb des Heimatlandes auszuweichen. Dies gilt umso mehr, als es sich bei den Beschwerdeführenden nicht um lan­desweit bekannte Persönlichkeiten handelt. Zudem ist festzuhalten, dass der Beschwer­deführer inzwischen seit rund (...) Jahren pen­si­o­niert - das heisst nicht mehr bei (...) - ist, was die Wahrscheinlichkeit künftiger, gezielt gegen ihn gerichteter Nach­stellungen zu­sätzlich verringert.</w:t>
      </w:r>
    </w:p>
    <w:p>
      <w:r>
        <w:rPr>
          <w:b/>
        </w:rPr>
        <w:t>E. 5.4</w:t>
      </w:r>
    </w:p>
    <w:p>
      <w:r>
        <w:t>Zweitens ist festzustellen, dass die zuständigen Polizeibehörden auf die Anzeige der Beschwerdeführenden gemäss ihren Angaben offensicht­lich aktiv geworden und sind und beispielsweise Massnahmen zum Schutz der Familie getroffen haben (vgl. Eingaben vom 27. Oktober 2009 und 25. Ja­nuar 2010, jeweils Bst. D). Unter diesen Umständen kann vorliegend weder von einem fehlenden Schutz­willen noch von fehlender Schutzfähigkeit des kolumbianischen Staa­tes gesprochen werden; dass die zuständigen Behörden dabei allen­falls nicht lückenlosen Schutz garantieren können, vermag zu keinem ande­ren Schluss zu führen.</w:t>
      </w:r>
    </w:p>
    <w:p>
      <w:r>
        <w:rPr>
          <w:b/>
        </w:rPr>
        <w:t>E. 5.5</w:t>
      </w:r>
    </w:p>
    <w:p>
      <w:r>
        <w:t>Drittens hat das BFM auch korrekt festgestellt, dass es den Be­schwer­de­führenden zuzumuten ist, nötigenfalls in einem anderen Land um Asylgewährung nachzusuchen (vgl. Art. 52 [Abs. 2] AsylG). So sind bei­spielsweise die Nachbarstaaten Brasilien, Ecuador, Panama und Peru Vertragsparteien sowohl des Abkommens über die Rechtsstellung der Flüchtlinge vom 28. Juli 1951 (FK, SR 0.142.30) als auch des betreffen­den Zusatzprotokolls vom 31. Januar 1967; Venezuela hat zwar das Ab­kom­men selbst nicht ratifiziert, wohl aber das Protokoll. Diese Länder ver­fü­gen - mit Ausnahme Venezuelas -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insbesondere denjenigen zu Panama und Venezuela, in den letzten Jah­ren zu unkontrollierten Rückschiebungen durch die Grenzbehörden gekommen sein soll). Für die praktische Möglichkeit und die Zumutbarkeit der anderweitigen Schutzsuche spricht im Weiteren die Möglichkeit der visumsfreien Einreise nach Brasilien, Ecuador und Peru sowie der Um­stand, dass jährlich mehrere Tausend kolumbianische Staatsangehörige in den Nach­barstaaten, namentlich in Ecuador, um Asyl suchen und dort zu einem be­trächtlichen Teil auch als Flüchtlinge anerkannt werden. Insgesamt erge­ben sich keine Anhaltspunkte, die darauf schliessen liessen, es sei den Beschwerdeführenden praktisch unmöglich oder objektiv un­zumutbar, sich in einen anderen Staat, insbesondere in einen der Nach­barstaaten Kolumbiens, zu begeben (vgl. EMARK 2004 Nr. 20 und EMARK 1997 Nr. 15 E. 2f S. 132; vgl. etwa auch die Urteile des Bun­des­ver­waltungs­ge­richts vom 6. August 2010 [D-5372/2010] und vom 15. Juni 2010 [E 4009/2010]). Dies um so weniger, als aus den Akten ersichtlich ist, dass es sich bei den Beschwerdeführenden, wie bereits erwähnt, nicht um landesweit be­kannte Persönlichkeiten handelt, die aufgrund ihrer be­son­ders expo­nierten Stellung auch bei einer Flucht ins nahe Ausland al­len­falls befürch­ten müssten, weiterhin verfolgt zu werden.</w:t>
      </w:r>
    </w:p>
    <w:p>
      <w:r>
        <w:rPr>
          <w:b/>
        </w:rPr>
        <w:t>E. 5.6</w:t>
      </w:r>
    </w:p>
    <w:p>
      <w:r>
        <w:t>Vor diesem Hintergrund erweist sich eine Schutzgewährung seitens der Schweizer Behörden als nicht erforderlich.</w:t>
      </w:r>
    </w:p>
    <w:p>
      <w:r>
        <w:rPr>
          <w:b/>
        </w:rPr>
        <w:t>E. 5.7</w:t>
      </w:r>
    </w:p>
    <w:p>
      <w:r>
        <w:t>Hinzu kommt schliesslich auch, dass die Beschwerdeführenden in ih­rem Gesuch keine besonders nahen Beziehungen zur Schweiz gel­tend gemacht haben.</w:t>
      </w:r>
    </w:p>
    <w:p>
      <w:r>
        <w:rPr>
          <w:b/>
        </w:rPr>
        <w:t>E. 5.8</w:t>
      </w:r>
    </w:p>
    <w:p>
      <w:r>
        <w:t>Unter diesen Umständen hat die Vorinstanz zu Recht die Erteilung der Einreisebewilligung verweigert und die Asylgesuche der Beschwerde­füh­renden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den Beschwerdeführenden aufzuerlegen (Art. 63 Abs. 1 VwVG). Aus verwal­tungsökonomischen Gründen ist in Anwendung von Art. 63 Abs. 1 in fine VwVG und Art. 2 und 3 des Reglements vom 21. Februar 2008 über die Kosten und Entschädigungen vor dem Bundesverwaltungsgericht (VGKE, SR 173.320.2)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