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E-4367/2022 vom 6. Oktober 2022</w:t>
      </w:r>
    </w:p>
    <w:p>
      <w:r>
        <w:t>Bundesverwaltungsgericht, 2022-10-06, FR</w:t>
      </w:r>
    </w:p>
    <w:p>
      <w:r>
        <w:rPr>
          <w:b/>
        </w:rPr>
        <w:t xml:space="preserve">Quelle: </w:t>
      </w:r>
      <w:r>
        <w:t>https://mcp.opencaselaw.ch/entscheid/bvger_E-4367_2022</w:t>
      </w:r>
    </w:p>
    <w:p>
      <w:r>
        <w:t>FR: TAF E-4367/2022 du 6 octobre 2022</w:t>
      </w:r>
    </w:p>
    <w:p>
      <w:r>
        <w:t>IT: TAF E-4367/2022 del 6 ottobre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Le recourant fait préliminairement valoir que le SEM aurait violé la maxime inquisitoire et son droit d'être entendu. L'autorité intimée aurait instruit de manière insuffisante les faits pertinents relatifs aux mauvais traitements qu'il aurait subis en Croatie et à sa situation dans ce pays. Elle aurait en outre rendu une décision à l'argumentation stéréotypée et standardisée, alors que la jurisprudence du Tribunal en matière de transferts Dublin vers la Croatie imposerait un examen détaillé.</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le recourant a eu tout loisir de s'exprimer sur son séjour en Croatie et les violences qu'il y aurait subies, ce qu'il a d'ailleurs fait. Tout défaut d'instruction sur ce point peut donc être écarté. 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2.2</w:t>
      </w:r>
    </w:p>
    <w:p>
      <w:r>
        <w:t>L'intéressé reproche encore au SEM d'avoir violé la maxime inquisitoire ainsi que son droit d'être entendu en instruisant et motivant insuffisamment la question de son état de santé. Il fait en substance grief à l'autorité intimée de ne pas avoir investigué à satisfaction de droit l'ensemble des troubles dont il a fait état, soit des céphalées, des douleurs cervicales, des brûlures mictionnelles, des hémorroïdes, des palpitations nocturnes avec douleurs costales, des troubles du sommeil, des cauchemars, de la tension, de l'anxiété et du stress. Il soutient en particulier que le potentiel trouble costal qu'il présente n'a aucunement été investigué et que le SEM ne pouvait pas statuer sans obtenir davantage d'informations sur son état de santé psychique, a fortiori compte tenu de la situation et des conditions d'accueil en Croatie. En l'occurrence, au moment où l'autorité intimée a statué, elle disposait de documents médicaux mettant en évidence les affections présentées par l'intéressé. Celui-ci a notamment bénéficié d'une analyse d'urine (résultat : « négatif ») et s'est vu remettre des anti-douleurs, des somnifères et des anxiolytiques. Le rapport médical du 12 septembre 2022 indique que le recours à un spécialiste n'est pas nécessaire. Celui 14 septembre 2022 prévoit une réévaluation médicale du traumatisme costal allégué la semaine suivante. Aucun document en ce sens n'a toutefois été versé au dossier de première instance par la suite, étant précisé que l'intéressé n'a pas non plus produit de document médical nouveau à l'appui de son recours, expliquant n'en avoir reçu aucun. S'agissant l'état de santé psychique du recourant, le diagnostic de « troubles d'adaptation anxio-dépressifs réactifs (PTSD) » a été posé. L'intéressé a ainsi été pris en charge médicalement depuis le début de la procédure et a eu des contacts réguliers avec l'infirmerie du centre, sans que les praticiens aient jugé que son état de santé nécessitait une prise en charge urgente. Nanti de ces informations, le SEM a notamment retenu que les affections présentées par le recourant n'étaient pas suffisamment graves ou spécifiques pour s'opposer à un retour en Croatie, où il aurait accès aux soins médicaux. Force est ainsi d'admettre que le SEM a dûment motivé sa décision et pris en compte les éléments médicaux figurant alors au dossier, lesquels ne laissaient apparaître aucun indice de troubles susceptibles de faire obstacle au transfert de l'intéressé. On ne saurait en particulier reprocher à l'autorité intimée de ne pas avoir attendu le résultat de la réévaluation du problème costal allégué par l'intéressé ou de ne pas avoir investigué plus avant son état psychique. Le SEM n'a par conséquent pas violé son devoir d'instruction d'office ou de motivation s'agissant de l'état de santé du recourant. Pour le surplus, la question de la situation en Croatie relève du fond et sera examinée plus loin.</w:t>
      </w:r>
    </w:p>
    <w:p>
      <w:r>
        <w:rPr>
          <w:b/>
        </w:rPr>
        <w:t>E. 2.3</w:t>
      </w:r>
    </w:p>
    <w:p>
      <w:r>
        <w:t>Le recourant fait finalement grief au SEM de na pas avoir effectué les démarches nécessaires auprès des autorités croates suite à l'invocation par ces dernières de l'art. 20 par. 5 RD III dans leur acceptation de reprise en charge du 16 septembre 2022. Selon l'intéressé, l'autorité intimée aurait dû s'assurer, dans ces circonstances, qu'il puisse valablement faire valoir ses motifs d'asile en Croatie et bénéficier de conditions d'accueil dignes et respectueuses des standards internationaux contraignants. Ici encore, ce grief relève du fond et sera examiné plus loin.</w:t>
      </w:r>
    </w:p>
    <w:p>
      <w:r>
        <w:rPr>
          <w:b/>
        </w:rPr>
        <w:t>E. 2.4</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23 août 2022.</w:t>
      </w:r>
    </w:p>
    <w:p>
      <w:r>
        <w:rPr>
          <w:b/>
        </w:rPr>
        <w:t>E. 5.2</w:t>
      </w:r>
    </w:p>
    <w:p>
      <w:r>
        <w:t>En date du 5 septembre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 recourant en date du 16 septembre 2022,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lorsqu'elles ont accepté la requête de reprise en charge formulée par le SEM, les autorités croates ont exposé que l'intéressé avait manifesté son intention de demander l'asile en Croatie le 23 août 2022, mais avait disparu avant son audition. Comme relevé, le dépôt par A._______ d'une demande de protection internationale en Croatie est confirmé par les données enregistrées dans le système « Eurodac ». Dans ces conditions, et dans la mesure où l'intéressé n'a pas quitté le territoire des Etats membres ni n'a obtenu de titre de séjour de la part d'un Etat membre dans l'intervalle, il se justifie de faire application de l'art. 20 par. 5 RD III, conformément à la jurisprudence précitée (cf. supra, consid. 5.3.2). Cette conclusion n'est pas modifiée par le fait que Tribunal, dans des procédures Dublin distinctes (F-2532/2022 et F-4803/2022), a invité le SEM, au stade du recours, à se déterminer notamment sur l'invocation de cette disposition par les autorités croates (cf. mémoire de recours, p. 11 s.).</w:t>
      </w:r>
    </w:p>
    <w:p>
      <w:r>
        <w:rPr>
          <w:b/>
        </w:rPr>
        <w:t>E. 5.4</w:t>
      </w:r>
    </w:p>
    <w:p>
      <w:r>
        <w:t>La Croatie a du reste reconnu sa compétence pour achever le processus de détermination de l'Etat membre responsable de l'examen de la demande d'asile déposée par l'intéressé,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Il ne saurait davantage s'appuyer sur l'arrêt de la Cour européenne des droits de l'homme (CourEDH) M.H. et autres c. Croatie du 18 novembre 2021 (req. nos 15670/18 et° 43115/18), dans la mesure où il a, comme déjà dit, pu déposer une demande de protection en Croatie et que cet Etat a expressément accepté de le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son transfert vers la Croatie, l'intéressé dit avoir été maltraité par la police croate lors de son interpellation. Il aurait notamment été frappé avec une batte au niveau des côtes. Il aurait également assisté au décès d'un compatriote, qui se serait noyé (cf. procès-verbal de l'entretien Dublin, p. 1) ou aurait été abattu par la police (cf. rapport médical du 14 septembre 2022). Il aurait été enfermé pendant deux jours dans une « sorte de garage » et insuffisamment nourri. Ses empreintes digitales auraient été prises de force, puis il aurait été emmené dans un centre qu'il aurait quitté après un jour, au vu des conditions d'accueil et de l'absence d'une quelconque prise en charge (cf. mémoire de recours, p. 6). Il a ainsi qualifié son voyage en Croatie de « choquant ». Craignant la police de ce pays, il n'aurait pas demandé à voir un médecin et n'y aurait donc pas reçu de soins, hormis une pommade. En outre, il a émis de sérieux doutes quant à l'accès dans ce pays à une procédure d'asile équitable et respectueuse de ses droits fondamentaux. Atteint notamment dans sa santé psychique, il devrait être considéré comme particulièrement vulnérable en cas de transfert. A cet égard, il invoque une violation de l'art. 17 par. 1 du règlement Dublin III en lien avec les art. 3 et 13 CEDH ainsi que 3 CCT, ainsi qu'en lien avec l'art. 29a al. 3 OA 1. Il invoque encore une violation de l'art. 2 de la Convention du 18 décembre 1979 sur l'élimination de toutes les formes de discrimination à l'égard des femmes (CEDEF, RS 0.108 ; cf. mémoire de recours, p. 12).</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ne sauraient infléchir ce raisonnement.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Les mauvais traitements que l'intéressé aurait subis en Croatie, ou les violences dont il aurait été témoin, ne sont pas étayés.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7.5.1</w:t>
      </w:r>
    </w:p>
    <w:p>
      <w:r>
        <w:t>Compte tenu de la jurisprudence restrictive en la matière, il y a lieu de considérer que les problèmes de santé évoqués par le recourant (cf. supra, consid. 2.2),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Dès lors, il y a lieu de retenir que les problèmes de santé dont le recourant est atteint ne sauraient faire obstacle à l'exécution de son transfert vers la Croatie.</w:t>
      </w:r>
    </w:p>
    <w:p>
      <w:r>
        <w:rPr>
          <w:b/>
        </w:rPr>
        <w:t>E. 7.5.3</w:t>
      </w:r>
    </w:p>
    <w:p>
      <w:r>
        <w:t>Cela étant,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7.6</w:t>
      </w:r>
    </w:p>
    <w:p>
      <w:r>
        <w:t>Enfin, toute violation de la CEDEF est en l'espèce manifestement exclue, le recourant ne développant d'ailleurs aucune argumentation sur ce point.</w:t>
      </w:r>
    </w:p>
    <w:p>
      <w:r>
        <w:rPr>
          <w:b/>
        </w:rPr>
        <w:t>E. 7.7</w:t>
      </w:r>
    </w:p>
    <w:p>
      <w:r>
        <w:t>Par conséquent, le transfert de l'intéressé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les demandes tendant à l'octroi de l'effet suspensif et à la dispense du versement d'une avance de frais sont sans objet, les mesures superprovisionnelles ordonnées le 30 septembre 2022 étant désormais caduques. Les conclusions du recours étant d'emblée vouées à l'échec, la requête d'assistance judiciaire partielle est rejetée.</w:t>
      </w:r>
    </w:p>
    <w:p>
      <w:r>
        <w:rPr>
          <w:b/>
        </w:rPr>
        <w:t>E. 10.2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