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E-4366/2010 vom 6. Juli 2010</w:t>
      </w:r>
    </w:p>
    <w:p>
      <w:r>
        <w:t>Bundesverwaltungsgericht, 2010-07-06, FR</w:t>
      </w:r>
    </w:p>
    <w:p>
      <w:r>
        <w:rPr>
          <w:b/>
        </w:rPr>
        <w:t xml:space="preserve">Quelle: </w:t>
      </w:r>
      <w:r>
        <w:t>https://mcp.opencaselaw.ch/entscheid/bvger_E-4366_2010</w:t>
      </w:r>
    </w:p>
    <w:p>
      <w:r>
        <w:t>FR: TAF E-4366/2010 du 6 juillet 2010</w:t>
      </w:r>
    </w:p>
    <w:p>
      <w:r>
        <w:t>IT: TAF E-4366/2010 del 6 luglio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w:t>
      </w:r>
    </w:p>
    <w:p>
      <w:r>
        <w:rPr>
          <w:b/>
        </w:rPr>
        <w:t>E. 1.2</w:t>
      </w:r>
    </w:p>
    <w:p>
      <w:r>
        <w:t>La recourante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2</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3.1</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établissant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3.2</w:t>
      </w:r>
    </w:p>
    <w:p>
      <w:r>
        <w:t>En l'occurrence, bien qu'ait été expliquée à la recourante la conséquence de la non-production d'une pièce d'identité lors de son audition sommaire du 22 mars 2010, elle n'a produit aucun document de voyage ni d'identité. Ses indications sur le document qui lui aurait été dérobé ont été divergentes, puisqu'elle a parlé tantôt de sa carte d'identité, tantôt de sa carte d'électrice (pv. de l'audition sommaire p. 3, pv. de l'audition fédérale p. 2). L'intéressée n'a par ailleurs fourni aucune explication sur les raisons pour lesquelles elle n'aurait pas pris contact avec les membres de sa famille à C._______ (pv. de l'audition fédérale p.2-3). Elle a, en outre, tenu des propos vagues et stéréotypés sur son voyage depuis D._______ jusqu'en Suisse, déclarant ignorer tout de la préparation de celui-ci ainsi que des documents avec lesquels elle aurait voyagé (pv. de l'audition sommaire p. 9). Enfin, dans son mémoire de recours, l'intéressée n'a pas davantage étayé les circonstances de son voyage ni les raisons pour lesquelles elle aurait été empêché d'entreprendre des démarches en vue de se procurer un document d'identité ou de voyage.</w:t>
      </w:r>
    </w:p>
    <w:p>
      <w:r>
        <w:rPr>
          <w:b/>
        </w:rPr>
        <w:t>E. 3.3</w:t>
      </w:r>
    </w:p>
    <w:p>
      <w:r>
        <w:t>Le Tribunal considère, dès lors, que la recourante n'a fait valoir aucun motif excusable susceptible de justifier la non-production de documents au sens de l'art. 32 al. 3 let. a LAsi.</w:t>
      </w:r>
    </w:p>
    <w:p>
      <w:r>
        <w:rPr>
          <w:b/>
        </w:rPr>
        <w:t>E. 4.1</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4.2</w:t>
      </w:r>
    </w:p>
    <w:p>
      <w:r>
        <w:t>En l'occurrence, le Tribunal observe que la motivation de l'ODM sur la vraisemblance des allégués de la recourant revêt une certaine densité. Certes, la seule ampleur de la motivation relative à la qualité de réfugié contenue dans une décision n'est pas, à elle seule, significative; il est loisible à l'autorité de relever plusieurs éléments d'invraisemblance et, parfois, c'est l'accumulation de confusions et d'imprécisions ou de contradictions qui convainc de l'évidence de l'invraisemblance d'un récit. Dans le présent cas toutefois, il ne s'agit pas d'une argumentation de ce type, et la motivation n'apparaît aucunement convaincante. Certes, l'ODM a retenu, comme éléments d'invraisemblance, le caractère laconique des allégués de la recourante sur son voyage, ainsi que ses propos stéréotypés sur la manière dont avait été organisé son départ, ce qui était légitime (cf. consid. 3.2 ci-dessus). Cependant, le Tribunal ne partage pas l'argumentation de l'ODM s'agissant du récit de la recourante relatif à son travail à (...), à sa compréhension de la langue (...) - elle a d'ailleurs déclaré provenir du (...) - et surtout sur le viol allégué, les victimes ayant effectivement des difficultés à s'exprimer sur ce sujet. De plus, d'autres éléments plaident pour la véracité des motifs d'asile, en particulier les déclarations constantes et relativement détaillées de la recourante concernant son travail d'infirmière à l'hôpital (...), sa rencontre avec son ami et sa détention. De ce fait, il s'imposait de vérifier plus avant certains de ses allégués, l'ODM ne pouvant conclure à un constat d'évidence. Cela dit, le Tribunal n'a pas à trancher la question de la vraisemblance des propos de l'intéressé. Il suffit en l'occurrence de constater que les allégués n'étaient pas manifestement dépourvus de vraisemblance, au sens de l'art. 32 al. 2 let. a et al. 3 LAsi. Partant, la décision entreprise doit être annulée et le dossier renvoyé à l'ODM pour nouvelle décision.</w:t>
      </w:r>
    </w:p>
    <w:p>
      <w:r>
        <w:rPr>
          <w:b/>
        </w:rPr>
        <w:t>E. 4.3</w:t>
      </w:r>
    </w:p>
    <w:p>
      <w:r>
        <w:t>La cassation s'impose également pour des motifs liés à l'exigibilité de l'exécution du renvoi. En effet, le fait que la recourante ait consulté un gynécologue à deux reprises, qu'un troisième rendez-vous ait été fixé, qu'elle ait déclaré avoir un (...) et prendre des médicaments (pv. de l'audition sommaire p. 10, pv. de l'audition fédérale p. 13) sont des indices qui auraient dû pousser l'ODM à instruire davantage la question de son état de santé. Ainsi, l'examen du caractère raisonnablement exigible de l'exécution du renvoi ne peut être, en l'état, effectué de manière complète sans certificat médical indiquant le diagnostic posé et le traitement entrepris, les pièces à usage interne dont la recourante n'a pas pu avoir connaissance portant uniquement sur l'annonce d'un cas médical et ne fournissant aucun détail précis.</w:t>
      </w:r>
    </w:p>
    <w:p>
      <w:r>
        <w:rPr>
          <w:b/>
        </w:rPr>
        <w:t>E. 4.4</w:t>
      </w:r>
    </w:p>
    <w:p>
      <w:r>
        <w:t>Au vu de ce qui précède, il apparaît que l'ODM n'était pas fondé à prendre une décision de non-entrée en matière dans le présent cas. En conséquence, le recours doit être admis, la décision de l'ODM annulée et le dossier lui être renvoyé pour qu'il entre en matière sur la demande d'asile.</w:t>
      </w:r>
    </w:p>
    <w:p>
      <w:r>
        <w:rPr>
          <w:b/>
        </w:rPr>
        <w:t>E. 5.1</w:t>
      </w:r>
    </w:p>
    <w:p>
      <w:r>
        <w:t>S'avérant manifestement fondé, le recours est rejeté dans une procédure à juge unique, avec l'approbation d'un second juge (art. 111 let. e LAsi). Il est, dès lors, renoncé à un échange d'écritures (cf. art. 111a al. 1 et 2 LAsi).</w:t>
      </w:r>
    </w:p>
    <w:p>
      <w:r>
        <w:rPr>
          <w:b/>
        </w:rPr>
        <w:t>E. 5.2</w:t>
      </w:r>
    </w:p>
    <w:p>
      <w:r>
        <w:t>Vu l'issue de la procédure, il n'y a pas lieu de percevoir des frais de procédure (art. 63 al. 1 et 2 PA)</w:t>
      </w:r>
    </w:p>
    <w:p>
      <w:r>
        <w:rPr>
          <w:b/>
        </w:rPr>
        <w:t>E. 5.3</w:t>
      </w:r>
    </w:p>
    <w:p>
      <w:r>
        <w:t>Conformément aux art. 64 al. 1 PA et 7 al. 1 du règlement concernant les frais, dépens et indemnités fixées par le Tribunal administratif fédéral (FITAF, RS 173.320.2), il se justifie d'allouer à la recourante, en l'absence de production d'un décompte de frais, une indemnité, d'un montant de Fr 1'000.-, pour ses dépens au vu de la relative complexité de l'affaire et du fait qu'elle est représentée par un mandataire professionnel.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