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E-4363/2024 vom 9. September 2024</w:t>
      </w:r>
    </w:p>
    <w:p>
      <w:r>
        <w:t>Bundesverwaltungsgericht, 2024-09-09, DE</w:t>
      </w:r>
    </w:p>
    <w:p>
      <w:r>
        <w:rPr>
          <w:b/>
        </w:rPr>
        <w:t xml:space="preserve">Quelle: </w:t>
      </w:r>
      <w:r>
        <w:t>https://mcp.opencaselaw.ch/entscheid/bvger_E-4363_2024</w:t>
      </w:r>
    </w:p>
    <w:p>
      <w:r>
        <w:t>FR: TAF E-4363/2024 du 9 septembre 2024</w:t>
      </w:r>
    </w:p>
    <w:p>
      <w:r>
        <w:t>IT: TAF E-4363/2024 del 9 settembre 2024</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72 i.V.m. Art. 108 Abs. 6 AsylG [vgl. BVGE 2023 VI/1 E. 3.8 f.], Art. 48 Abs. 1 und Art. 52 Abs. 1 VwVG).</w:t>
      </w:r>
    </w:p>
    <w:p>
      <w:r>
        <w:rPr>
          <w:b/>
        </w:rPr>
        <w:t>E. 1.4</w:t>
      </w:r>
    </w:p>
    <w:p>
      <w:r>
        <w:t>Auf die Beschwerde ist einzutreten.</w:t>
      </w:r>
    </w:p>
    <w:p>
      <w:r>
        <w:rPr>
          <w:b/>
        </w:rPr>
        <w:t>E. 2</w:t>
      </w:r>
    </w:p>
    <w:p>
      <w:r>
        <w:t>Die Kognition des Bundesverwaltungsgerichts und die zulässigen Rügen</w:t>
      </w:r>
    </w:p>
    <w:p>
      <w:r>
        <w:t>E-4363/2024 Seite 4 richten sich, soweit die Verweigerung vorübergehenden Schutzes betref- fend, nach Art. 106 Abs. 1 AsylG (i.V.m. Art. 72 AsylG), im Bereich des Aus- länderrechts nach Art. 49 VwVG (vgl. BVGE 2014/26 E. 5).</w:t>
      </w:r>
    </w:p>
    <w:p>
      <w:r>
        <w:rPr>
          <w:b/>
        </w:rPr>
        <w:t>E. 3</w:t>
      </w:r>
    </w:p>
    <w:p>
      <w:r>
        <w:t>Über offensichtlich begründete Beschwerden wird in einzelrichterlicher Zu- ständigkeit mit Zustimmung eines zweiten Richters beziehungsweise einer zweiten Richterin entschieden (Art. 72 i.V.m. Art. 111 Bst. e AsylG). Wie nachstehend aufgezeigt wird, handelt es sich um ein solches Rechtsmittel, weshalb das Urteil nur summarisch zu begründen ist (Art. 72 i.V.m. Art. 111a Abs. 2 AsylG).</w:t>
      </w:r>
    </w:p>
    <w:p>
      <w:r>
        <w:rPr>
          <w:b/>
        </w:rPr>
        <w:t>E. 4.1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w:t>
      </w:r>
    </w:p>
    <w:p>
      <w:r>
        <w:t>E-4363/2024 Seite 5 verfügen und nicht in Sicherheit und dauerhaft in ihre Heimatländer zu- rückkehren können.</w:t>
      </w:r>
    </w:p>
    <w:p>
      <w:r>
        <w:rPr>
          <w:b/>
        </w:rPr>
        <w:t>E. 5.1</w:t>
      </w:r>
    </w:p>
    <w:p>
      <w:r>
        <w:t>Gemäss Art. 12 VwVG stellt die Behörde den Sachverhalt von Amtes wegen fest und bedient sich nötigenfalls der unter dieser Norm aufgeliste- ten Beweismittel. Als Verfahrensmaxime besagt der Untersuchungsgrund- satz, dass die Verwaltungsbehörden für die Beschaffung des die Urteils- grundlage bildenden Tatsachenmaterials zuständig sind. Er auferlegt der Behörde die Pflicht, von Amtes wegen den rechtserheblichen Sachverhalt vollständig und richtig zu ermitteln und beinhaltet gewissermassen eine Art «behördliche Beweisführungspflicht» (vgl. KRAUSKOPF/EMMENE- GER/BABEY, in: Praxiskommentar VwVG, Waldmann/Weissenberger [Hrsg.], 3. Aufl. 2023, Art. 12 N. 16). Der Untersuchungsgrundsatz findet seine Grenze an der gesetzlichen Mitwirkungspflicht der Parteien (Art. 13 VwVG) sowie im Asylverfahren durch die besondere Mitwirkungspflicht ei- ner asylsuchenden Person (Art. 8 AsylG). Die unrichtige oder unvollstän- dige Feststellung des rechtserheblichen Sachverhalts in Verletzung der Untersuchungspflicht bildet einen Beschwerdegrund (Art. 49 Bst. b VwVG). Unrichtig ist die Sachverhaltsfeststellung, wenn der Verfügung ein falscher und aktenwidriger Sachverhalt zugrunde gelegt wird; unvollständig ist sie, wenn nicht alle für den Entscheid rechtswesentlichen Sachum- stände berücksichtigt werden (vgl. KÖLZ/HÄNER/BERTSCHI, Verwaltungs- verfahren und Verwaltungsrechtspflege des Bundes, 3. Aufl. 2013, N. 1043).</w:t>
      </w:r>
    </w:p>
    <w:p>
      <w:r>
        <w:rPr>
          <w:b/>
        </w:rPr>
        <w:t>E. 5.2</w:t>
      </w:r>
    </w:p>
    <w:p>
      <w:r>
        <w:t>Der Anspruch auf rechtliches Gehör nach Art. 29 Abs. 2 BV verlangt, dass die verfügende Behörde die Vorbringen des Betroffenen tatsächlich hört, sorgfältig und ernsthaft prüft und in der Entscheidfindung berücksich- tigt, was sich entsprechend in der Entscheidbegründung niederschlagen muss (Art. 35 Abs. 1 VwVG). Ob sich die Behörde tatsächlich mit allen er- heblichen Vorbringen der Parteien befasst und auseinandergesetzt hat, lässt sich erst aus der Begründung erkennen. Im Asylverfahren sind die Anforderungen an die Begründungsdichte regelmässig hoch, wiegen die rechtlich geschützten Interessen der Betroffenen doch allgemein schwer (vgl. PATRICK SUTTER, in: Kommentar VwVG, 2008, Art. 32 VwVG, Rz. 2). Insgesamt muss der Entscheid so abgefasst sein, dass ihn der Betroffene gegebenenfalls sachgerecht anfechten kann, was nur möglich ist, wenn sich sowohl er als auch die Rechtsmittelinstanz über die Tragweite des Entscheides ein Bild machen können. Dabei kann sich die Behörde in ihrer Argumentation zwar auf die für den Entscheid wesentlichen Gesichts-</w:t>
      </w:r>
    </w:p>
    <w:p>
      <w:r>
        <w:t>E-4363/2024 Seite 6 punkte beschränken; sie darf aber nur diejenigen Argumente stillschwei- gend übergehen, die für den Entscheid erkennbar unbehelflich sind. In die- sem Sinne müssen wenigstens kurz die Überlegungen genannt werden, von denen sich die Behörde hat leiten lassen und auf die sich ihr Entscheid stützt (vgl. BGE 134 I 83 E. 4.1; BVGE 2007/21 E. 10.2 m.w.H.).</w:t>
      </w:r>
    </w:p>
    <w:p>
      <w:r>
        <w:rPr>
          <w:b/>
        </w:rPr>
        <w:t>E. 6.1</w:t>
      </w:r>
    </w:p>
    <w:p>
      <w:r>
        <w:t>Die Vorinstanz führte zur Begründung der angefochtenen Verfügung im Wesentlichen aus, der Beschwerdeführer verfüge gemäss dem Subsidiari- tätsprinzip in Kanada über eine gültige Aufenthaltsalternative. So habe er die Möglichkeit, mit dem nach wie vor gültigen Visum nach Kanada weiter- zureisen und dort eine Aufenthaltsbewilligung zu beantragen. Personen, die in einem Drittstaat ausserhalb der Ukraine über eine dem Schweizeri- schen Schutzstatus S gleichzusetzende Aufenthaltsalternative verfügten, seien in dem betreffenden Staat bereits wirksam vor der Kriegssituation in der Ukraine geschützt und deshalb nicht auf die zusätzliche Schutzgewäh- rung in der Schweiz angewiesen. Überdies falle die Annullierung des ka- nadischen Visums in die Zuständigkeit der kanadischen Behörden und sei vorliegend nicht belegt.</w:t>
      </w:r>
    </w:p>
    <w:p>
      <w:r>
        <w:rPr>
          <w:b/>
        </w:rPr>
        <w:t>E. 6.2</w:t>
      </w:r>
    </w:p>
    <w:p>
      <w:r>
        <w:t>In der Beschwerdeschrift macht der Beschwerdeführer namentlich gel- tend, das Subsidiaritätsprinzip komme lediglich zur Anwendung, wenn die betroffenen Personen neben der ukrainischen auch eine zweite Staatsan- gehörigkeit oder aber in einem anderen Staat bereits einen Schutzstatus beantragt und erhalten hätten. Ein Visum sei jedoch lediglich eine Einreis- erlaubnis, die keinen Schutzstatus gewähre. Der Zweck der Visumsertei- lung habe objektiv nichts mit dem Krieg in der Ukraine zu tun, und er habe das Visum nicht beantragt, um Schutz vor dem Krieg zu suchen. Die theo- retische Möglichkeit, mit dem Visum nach Kanada zu reisen und dort eine Aufenthaltsbewilligung zu beantragen und damit eine Schutzalternative zu erlangen, sei kein Grund für die Ablehnung seines Gesuchs. Es handle sich insbesondere auch nicht um ein CUAET (Canada-Ukraine Authorization for Emergency Travel) - Visum, sondern um ein normales Arbeitsvisum. Schliesslich versuche er derzeit, das Visum zu annullieren.</w:t>
      </w:r>
    </w:p>
    <w:p>
      <w:r>
        <w:rPr>
          <w:b/>
        </w:rPr>
        <w:t>E. 7.1</w:t>
      </w:r>
    </w:p>
    <w:p>
      <w:r>
        <w:t>Es ist unbestritten und aktenkundig, dass der Beschwerdeführer über ein gültiges Visum für Kanada mit Gültigkeit bis zum (…) verfügt. Die an die kanadische Botschaft in B._______ gerichtete E-Mail vermag den Be- stand des Visums nicht zu widerlegen. Vielmehr weist der Wortlaut des Be- treffs dieser E-Mail «Canadian Visa for Ukrainians (CUAET) Cancellation»</w:t>
      </w:r>
    </w:p>
    <w:p>
      <w:r>
        <w:t>E-4363/2024 Seite 7 scheinbar darauf hin, dass es sich entgegen den Behauptungen des Be- schwerdeführers nicht um ein Arbeitsvisum, sondern um ein CUAET-Visum handelt, was auch ein Abgleich mit dem im Internet zugänglichen Bildma- terial ergibt (vgl. bspw. &lt; https://visaglobal.com.ua/vizyi-v-kanadu/pro- gramma-cuaet-dlya-grazhdan-ukrainy/cuaet-visa/ &gt;, besucht am 26. Juli 2024).</w:t>
      </w:r>
    </w:p>
    <w:p>
      <w:r>
        <w:rPr>
          <w:b/>
        </w:rPr>
        <w:t>E. 7.2</w:t>
      </w:r>
    </w:p>
    <w:p>
      <w:r>
        <w:t>Jedoch hob Kanada das CUAET-Programm per 31. März 2024 auf (&lt; https://www.canada.ca/en/immigration-refugees-citizenship/ser- vices/immigrate-canada/ukraine-measures.html &gt;, besucht am 26. Juli 2024). Demnach könnten Personen, die – wie der Beschwerdeführer – ein vor dem 4. Februar 2024 ausgestelltes CUAET-Visum noch nicht in An- spruch genommen hätten, zwar während dessen Gültigkeitsdauer weiter- hin für einen befristeten Aufenthalt nach Kanada reisen; für eine Einreise müssten sie aber die allgemeinen Einreisevoraussetzungen erfüllen und sie hätten keinen Anspruch mehr auf Unterstützung und Ausnahmen im Rahmen der vormaligen CUAET-Massnahmen in Kanada (vgl. auch Urteil des BVGer E-3303/2024 vom 7. Juni 2024 E. 6.2 m.w.H.). Diese “basic entry requirements” werden auf der Website so umschrieben: “To visit Canada, you will need to meet some basic requirements, such as: have a valid travel document, such as a passport, be in good health, have no criminal or immigration-related convictions, convince an immigration of- ficer that you have tie – such as a job, home, financial assets or family – that will take you back to your home country, convince an immigration of- ficer that you will leave Canada at the end of your visit, and have enough money for your stay” (vgl. a.a.O.).</w:t>
      </w:r>
    </w:p>
    <w:p>
      <w:r>
        <w:rPr>
          <w:b/>
        </w:rPr>
        <w:t>E. 7.3</w:t>
      </w:r>
    </w:p>
    <w:p>
      <w:r>
        <w:t>Aus den vorliegenden Akten ergibt sich damit nicht hinreichend klar, ob der Beschwerdeführer in Kanada Schutz vor einer Rückweisung in die Uk- raine vor Beendigung des Krieges erlangen kann. Ob Kanada eine valable Schutzalternative zur Schweiz darstellt, die sich der Beschwerdeführer ent- gegenhalten lassen muss (zur Subsidiarität des Schutzes, vgl. BVGE 2022 VI/1 E. 6.3), steht nicht fest. Diese Frage wird die Vorinstanz zu klären ha- ben, gegebenenfalls nach Rücksprache mit ihren kanadischen Partnerbe- hörden.</w:t>
      </w:r>
    </w:p>
    <w:p>
      <w:r>
        <w:rPr>
          <w:b/>
        </w:rPr>
        <w:t>E. 7.4</w:t>
      </w:r>
    </w:p>
    <w:p>
      <w:r>
        <w:t>Zusammenfassend ist festzuhalten, dass die Vorinstanz den rechtser- heblichen Sachverhalt unvollständig festgestellt hat. Durch ihre ungenü- genden Abklärungen hat sie den Untersuchungsgrundsatz, das rechtliche Gehör des Beschwerdeführers und ihre Begründungspflicht verletzt. Eine</w:t>
      </w:r>
    </w:p>
    <w:p>
      <w:r>
        <w:t>E-4363/2024 Seite 8 Heilung dieser Verfahrensmängel auf Beschwerdeebene kommt nicht in Betracht. Auf die Durchführung eines Schriftenwechsels ist unter diesen Umständen aus prozessökonomischen Überlegungen zu verzichten (Art. 72 i.V.m. Art. 111a Abs. 1 AsylG).</w:t>
      </w:r>
    </w:p>
    <w:p>
      <w:r>
        <w:rPr>
          <w:b/>
        </w:rPr>
        <w:t>E. 7.5</w:t>
      </w:r>
    </w:p>
    <w:p>
      <w:r>
        <w:t>Die Beschwerde ist gutzuheissen, soweit damit (eventualiter) die Kas- sation der angefochtenen Verfügung und die Rückweisung der Sache an die Vorinstanz beantragt worden ist.</w:t>
      </w:r>
    </w:p>
    <w:p>
      <w:r>
        <w:rPr>
          <w:b/>
        </w:rPr>
        <w:t>E. 7.6</w:t>
      </w:r>
    </w:p>
    <w:p>
      <w:r>
        <w:t>Auf die übrigen Ausführungen in der Rechtsmitteleingabe braucht bei diesem Verfahrensausgang nicht eingegangen zu werden.</w:t>
      </w:r>
    </w:p>
    <w:p>
      <w:r>
        <w:rPr>
          <w:b/>
        </w:rPr>
        <w:t>E. 8.1</w:t>
      </w:r>
    </w:p>
    <w:p>
      <w:r>
        <w:t>Bei diesem Ausgang des Verfahrens sind keine Verfahrenskosten zu erheben (Art. 63 Abs. 1 und 2 VwVG). Das Gesuch um Gewährung der unentgeltlichen Prozessführung inklusive Verzicht auf die Erhebung eines Kostenvorschusses wird damit gegenstandslos.</w:t>
      </w:r>
    </w:p>
    <w:p>
      <w:r>
        <w:rPr>
          <w:b/>
        </w:rPr>
        <w:t>E. 8.2</w:t>
      </w:r>
    </w:p>
    <w:p>
      <w:r>
        <w:t>Es ist keine Parteientschädigung auszurichten, da dem nicht vertrete- nen Beschwerdeführer keine verhältnismässig hohen Kosten im Sinne des Gesetzes entstanden sind (Art. 64 Abs. 1 VwVG und Art. 7 Abs. 4 des Reg- lements vom 21. Februar 2008 über die Kosten und Entschädigungen vor dem Bundesverwaltungsgericht [VGKE, SR 173.320.2]).</w:t>
      </w:r>
    </w:p>
    <w:p>
      <w:r>
        <w:rPr>
          <w:b/>
        </w:rPr>
        <w:t>E. 8.3</w:t>
      </w:r>
    </w:p>
    <w:p>
      <w:r>
        <w:t>Das Gesuch um Beigabe eines amtlichen Rechtsbeistandes wird bei diesem Ausgang des Verfahrens gegenstandslos.</w:t>
      </w:r>
    </w:p>
    <w:p>
      <w:r>
        <w:t>(Dispositiv nächste Seite)</w:t>
      </w:r>
    </w:p>
    <w:p>
      <w:r>
        <w:t>E-4363/2024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