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E-4358/2012 vom 30. August 2012</w:t>
      </w:r>
    </w:p>
    <w:p>
      <w:r>
        <w:t>Bundesverwaltungsgericht, 2012-08-30, DE</w:t>
      </w:r>
    </w:p>
    <w:p>
      <w:r>
        <w:rPr>
          <w:b/>
        </w:rPr>
        <w:t xml:space="preserve">Quelle: </w:t>
      </w:r>
      <w:r>
        <w:t>https://mcp.opencaselaw.ch/entscheid/bvger_E-4358_2012</w:t>
      </w:r>
    </w:p>
    <w:p>
      <w:r>
        <w:t>FR: TAF E-4358/2012 du 30 août 2012</w:t>
      </w:r>
    </w:p>
    <w:p>
      <w:r>
        <w:t>IT: TAF E-4358/2012 del 30 agosto 2012</w:t>
      </w:r>
    </w:p>
    <w:p>
      <w:pPr>
        <w:pStyle w:val="Heading2"/>
      </w:pPr>
      <w:r>
        <w:t>Regeste</w:t>
      </w:r>
    </w:p>
    <w:p>
      <w:r>
        <w:t>Nichteintreten auf Asylgesuch (Safe Country)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2 AsylG und Art. 52 VwVG) ist insoweit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Beurteilungskompetenz des Bundesverwaltungsgerichts ist bei Beschwerden gegen Nichteintretensentscheide, die in Anwendung von Art. 34 Abs. 1 AslyG ergingen, nicht auf die Frage beschränkt, ob die Vorinstanz auf das Asylgesuch zu Recht nicht eingetreten ist. Vielmehr bildet auch die Flüchtlingseigenschaft Streitgegenstand. Im Rahmen einer summarischen Prüfung ist das offenkundige Fehlen der Flüchtlingseigenschaft des Beschwerdeführers und von Wegweisungsvollzugshindernissen zu beurteilen (vgl. BVGE 2007/8 E. 2.1 und 5.6.5). Bezüglich der Wegweisung und des Wegweisungsvollzuges ist die Beurteilungskompetenz nicht beschränkt, da dies die Vorinstanz materiell geprüft hat (vgl. BVGE 2007/8 E. 2.1).</w:t>
      </w:r>
    </w:p>
    <w:p>
      <w:r>
        <w:rPr>
          <w:b/>
        </w:rPr>
        <w:t>E. 2.3</w:t>
      </w:r>
    </w:p>
    <w:p>
      <w:r>
        <w:t>Das Begehren der Beschwerdeführenden, es sei ihnen Asyl zu gewähren, geht über den zulässigen Streitgegenstand hinaus. Auf die Beschwerde ist insoweit nicht einzutreten.</w:t>
      </w:r>
    </w:p>
    <w:p>
      <w:r>
        <w:rPr>
          <w:b/>
        </w:rPr>
        <w:t>E. 2.4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Auf Gesuche von Asylsuchenden aus verfolgungssicheren Staaten nach Art. 6a Abs. 2 Bst. a AsylG wird nicht eingetreten, ausser es gebe Hinweise auf Verfolgung (Art. 34 Abs. 1 AsylG).</w:t>
      </w:r>
    </w:p>
    <w:p>
      <w:r>
        <w:rPr>
          <w:b/>
        </w:rPr>
        <w:t>E. 3.2</w:t>
      </w:r>
    </w:p>
    <w:p>
      <w:r>
        <w:t>Gemäss Art. 6a Abs. 2 Bst.a AsylG bezeichnet der Bundesrat Staaten, in denen nach seinen Feststellungen Sicherheit vor Verfolgung besteht, als sichere Heimat- oder Herkunftsstaaten (sogenannte "safe country").</w:t>
      </w:r>
    </w:p>
    <w:p>
      <w:r>
        <w:rPr>
          <w:b/>
        </w:rPr>
        <w:t>E. 3.3</w:t>
      </w:r>
    </w:p>
    <w:p>
      <w:r>
        <w:t>Mit Beschluss vom 6. März 2009 (in Kraft seit dem 1. April 2009) hat der Bundesrat Serbien zum "safe country" erklärt.</w:t>
      </w:r>
    </w:p>
    <w:p>
      <w:r>
        <w:rPr>
          <w:b/>
        </w:rPr>
        <w:t>E. 4.1</w:t>
      </w:r>
    </w:p>
    <w:p>
      <w:r>
        <w:t>Die Vorinstanz gelangt in der angefochtenen Verfügung zum Schluss, es gebe keine Hinweise, welche die widerlegbare Vermutung von Art. 6a Abs. 2 Bst. a AsylG umzustossen vermöge. Zur Begründung führt sie aus, der schwerste Übergriff der serbischen Nachbarn habe sich vor fünf beziehungsweise sechs Jahren zugetragen. Diesbezüglich hätten die Beschwerdeführenden indes in wesentlichen Punkten ihrer Asylbegründung widersprüchlich ausgesagt. Namentlich hätten sie sich unvereinbar darüber geäussert, wer die Polizei gerufen habe, ob diese in der Folge bei den Beschwerdeführenden vorbeigekommen sei, wer den Beschwerdeführer zum Arzt gebracht habe, wie alt die Täter gewesen seien, zu welcher Jahreszeit sich der Vorfall zugetragen habe, wie weit entfernt einer der Nachbarn gewohnt habe und wer anlässlich des Vorfalles eine Bierflasche in der Hand gehalten habe. Auf Vorhalt hätten die Beschwerdeführenden die Wiedersprüche nicht auflösen können, weshalb ihre Vorbringen als nicht glaubhaft zu bewerten seien. Zur Lage der Romas in Serbien führt die Vorinstanz weiter aus, diese habe sich im Zuge des demokratischen Wandels entspannt. Am 25. Februar 2002 sei das Bundesgesetz zum Schutz und zur Freiheit der nationalen Minoritäten in Kraft getreten. Gemäss diesem Gesetz erhielten die Minoritäten das Recht auf Schulbildung in der Muttersprache, das Recht auf Gebrauch der Muttersprache als Amtssprache sowie das Recht auf Informationen in eigener Sprache. Vorgesehen sei zudem, dass die nationalen Minderheiten in öffentlichen Ämtern proportional vertreten seien. Vereinzelte Benachteiligungen und Schikanen gegenüber Roma könnten nicht restlos ausgeschlossen werden. Allerdings komme solchen Vorkommnissen in der Regel keine asylrelevante Intensität zu. Zudem billige der Staat Übergriffe durch Drittpersonen nicht. Solche Vorfälle stellten auch in Serbien Straftatbestände dar, die von den Behörden geahndet würden.</w:t>
      </w:r>
    </w:p>
    <w:p>
      <w:r>
        <w:rPr>
          <w:b/>
        </w:rPr>
        <w:t>E. 4.2</w:t>
      </w:r>
    </w:p>
    <w:p>
      <w:r>
        <w:t>Der Schluss der Vorinstanz, dass keine Hinweise auf Verfolgung im Sinne von Art. 34 Abs. 1 AsylG vorliegen, verletzt Bundesrecht nicht. Die vorinstanzliche Beweiswürdigung ist ebenfalls nicht zu beanstanden. Was die Beschwerdeführenden dagegen vorbringen, ist nicht geeignet, ihre Aussagen in einem anderen Licht erscheinen zu lassen, was sie teilweise selbst einräumen (z.B. Beschwerde S. 3: "tatsächlich [ist] nicht zu verkennen, dass die Zweitbefragung etwas dürftig ausgefallen ist"). Eine Verletzung des Willkürverbotes wird gerügt. Doch die Rüge wird nicht ansatzweise begründet. Statt dessen wiederholen die Beschwerdeführenden die Vorbringen im erstinstanzlichen Verfahren, ohne aufzuzeigen, inwiefern die Vorinstanz zu Unrecht geschlossen habe, es würden keine Hinweise auf Verfolgung vorliegen. Solches ist auch nicht ersichtlich. Um Wiederholungen zu vermeiden, kann vollumfänglich auf die zutreffenden Erwägungen in der angefochtenen Verfügung verwiesen werden. Zusammenfassend ist festzustellen, dass die Vorinstanz zu Recht gestützt auf Art. 34 Abs. 1 AsylG auf die Asylgesuche der Beschwerdeführenden nicht eingetreten ist.</w:t>
      </w:r>
    </w:p>
    <w:p>
      <w:r>
        <w:rPr>
          <w:b/>
        </w:rPr>
        <w:t>E. 5</w:t>
      </w:r>
    </w:p>
    <w:p>
      <w:r>
        <w:t>Gemäss Art. 44 Abs. 1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(Art. 44 Abs. 1 AsylG; BVGE 2009/50 E. 9 S.733). Die Wegweisung wurde demnach zu Recht verfügt.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den Beschwerdeführenden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der Beschwerdeführenden noch aus den Akten ergeben sich Anhaltspunkte dafür, dass sie für den Fall einer Ausschaffung nach Serbien dort mit beachtlicher Wahrscheinlichkeit einer nach Art. 3 EMRK oder Art. 1 FoK verbotenen Strafe oder Behandlung ausgesetzt wären. Der Vollzug der Wegweisung ist demnach als zulässig zu beurteilen.</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2009/28E. 9.3.1). Der Vollzug der Wegweisung nach Serbien ist im Sinne der vorgenannten Bestimmung zumutbar. Die allgemeine Lage in Serbien ist weder durch Krieg, Bürgerkrieg noch durch eine Situation allgemeiner Gewalt gekennzeichnet, aufgrund derer die Zivilbevölkerung allgemein als konkret gefährdet bezeichnet werden müsste. Des Weiteren sind den Akten keine Hinweise auf individuelle, in den Personen der Beschwerdeführerenden liegende Vollzugshindernisse zu entnehmen. Abgesehen von den beiden kurzen Aufenthalten in Schweden und Deutschland haben sie immer in Serbien gelebt und sind mit der dortigen Kultur und Tradition verwurzelt. Sodann leben ihre Eltern sowie zahlreich Geschwister mit ihre Familien nach wie vor in Serbien. Damit verfügen die Beschwerdeführenden in Serbien über ein bestehendes soziales Beziehungsnetz. Insoweit ist auch die Rückkehr für die zwischen drei und zwölf Jahre alten Kinder der Beschwerdeführenden zumutbar. Was ferner den finanziellen Unterhalt der Familie anbelangt, so hat der Beschwerdeführer gemäss seinen Angaben keine Berufsausbildung. Indes verfügt er über unterschiedliche Arbeitserfahren, insbesondere (...). Auch wenn die Arbeitssituation in Serbien für Roma nicht einfach ist, lässt sich nicht von vornherein annehmen, dass er bei einer Rückkehr keine Arbeit findet. Festzuhalten ist, dass nach konstanter Rechtsprechung blosse soziale und wirtschaftliche Schwierigkeiten keine existenzbedrohende Situation im Sinne von Art. 83 Abs. 4 AuG darstellt (vgl. statt vieler Urteil des Bundesverwaltungsgerichts E-4917/2010 vom 14. Juni 2012). Der Beschwerdeführer bringt sodann vor, er leide an Diabetes und müsse sich täglich mehrmals Insulin spritzen. Medizinische Wegweisungsvollzugshindernisse werden in der Beschwerde aber zu Recht nicht geltend gemacht. Wie bereits die Vorinstanz festgestellt hat, ist die gesundheitliche Grundversorgung in Serbien gewährleistet und waren der Beschwerdeführer sowie seine Familie bisher krankenversichert. Aus dem eingereichten Aufgebot des Universitätsspitals H._______, Dermatologische Klinik, für die Beschwerdeführerin auf den 17. September 2012, lässt sich nichts ableiten. Die Beschwerdeführerenden legen mit keinem Wort dar und ist aus dem Aufgebot auch nicht ersichtlich, weshalb die Beschwerdeführerin einer ärztlichen Konsultation in der Poliklinik bedarf. Der Vollzug der Wegweisung erweist sich als zumutbar.</w:t>
      </w:r>
    </w:p>
    <w:p>
      <w:r>
        <w:rPr>
          <w:b/>
        </w:rPr>
        <w:t>E. 6.4</w:t>
      </w:r>
    </w:p>
    <w:p>
      <w:r>
        <w:t>Die Beschwerdeführenden und ihre Kinder sind im Besitze von gültigen Reisepässen, weshalb der Vollzug der Wegweisung auch als möglich zu bezeichnen ist (Art. 83 Abs. 2 AuG).</w:t>
      </w:r>
    </w:p>
    <w:p>
      <w:r>
        <w:rPr>
          <w:b/>
        </w:rPr>
        <w:t>E. 6.5</w:t>
      </w:r>
    </w:p>
    <w:p>
      <w:r>
        <w:t>Zusammenfassend hat die Vorinstanz den Vollzug der Wegweisung zutreffend als zulässig, zumutbar und möglich bezeichnet, weshalb eine vorläufige Aufnahme der Beschwerdeführenden ausser Betracht fällt.</w:t>
      </w:r>
    </w:p>
    <w:p>
      <w:r>
        <w:rPr>
          <w:b/>
        </w:rPr>
        <w:t>E. 7</w:t>
      </w:r>
    </w:p>
    <w:p>
      <w:r>
        <w:t>Nach dem Gesagten ergibt sich, dass die angefochtene Verfügung weder Bundesrecht verletzt noch sonst wie zu beanstanden ist (Art. 106 Abs. 1 AsylG). Die Beschwerde ist abzuweisen, soweit darauf einzutreten ist.</w:t>
      </w:r>
    </w:p>
    <w:p>
      <w:r>
        <w:rPr>
          <w:b/>
        </w:rPr>
        <w:t>E. 8.1</w:t>
      </w:r>
    </w:p>
    <w:p>
      <w:r>
        <w:t>Die Beschwerdeführenden beantragen die Gewährung der unentgeltlichen Rechtspflege gemäss Art. 65 Abs. 1 VwVG sowie die Gewährung der unentgeltlichen Verbeiständung gemäss Art. 65 Abs. 2 VwVG. Aufgrund der vorstehenden Erwägungen ergibt sich, dass ihre Begehren als aussichtslos zu gelten haben. Damit ist eine der kumulativ zu erfüllenden Voraussetzungen nicht gegeben, weshalb den Gesuchen nicht stattzugeben ist.</w:t>
      </w:r>
    </w:p>
    <w:p>
      <w:r>
        <w:rPr>
          <w:b/>
        </w:rPr>
        <w:t>E. 8.2</w:t>
      </w:r>
    </w:p>
    <w:p>
      <w:r>
        <w:t>Bei diesem Ausgang des Verfahrens sind die Kosten von Fr. 600.- (Art. 1 - 3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