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E-4357/2016 vom 12. Juni 2017</w:t>
      </w:r>
    </w:p>
    <w:p>
      <w:r>
        <w:t>Bundesverwaltungsgericht, 2017-06-12, DE</w:t>
      </w:r>
    </w:p>
    <w:p>
      <w:r>
        <w:rPr>
          <w:b/>
        </w:rPr>
        <w:t xml:space="preserve">Quelle: </w:t>
      </w:r>
      <w:r>
        <w:t>https://mcp.opencaselaw.ch/entscheid/bvger_E-4357_2016</w:t>
      </w:r>
    </w:p>
    <w:p>
      <w:r>
        <w:t>FR: TAF E-4357/2016 du 12 juin 2017</w:t>
      </w:r>
    </w:p>
    <w:p>
      <w:r>
        <w:t>IT: TAF E-4357/2016 del 12 giugno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 Dass der Beschwerdeführerin mit Zwischenverfügung vom 17. August 2016 wiedererwägungsweise die unentgeltliche Rechtspflege (Art. 65 Abs. 1 VwVG) gewährt worden ist, die Beschwerde somit als nicht aussichtslos qualifiziert wurde,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ist jedoch der Urteilszeitpunkt massgebend, während für die Beurteilung der Aussichtslosigkeit der Beschwerdebegehren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w:t>
      </w:r>
    </w:p>
    <w:p>
      <w:r>
        <w:rPr>
          <w:b/>
        </w:rPr>
        <w:t>E. 3.3</w:t>
      </w:r>
    </w:p>
    <w:p>
      <w:r>
        <w:t>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3.4</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3.5</w:t>
      </w:r>
    </w:p>
    <w:p>
      <w:r>
        <w:t>Eine asylsuchende Person muss diese zusätzlichen Anknüpfungspunkte ebenso wie ihre Vorfluchtgründe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4.1</w:t>
      </w:r>
    </w:p>
    <w:p>
      <w:r>
        <w:t>Die Vorinstanz begründet ihre Verfügung im Wesentlichen damit, die Vorbringen der Beschwerdeführerin zur Inhaftierung, zu den Ausweisdokumenten sowie zur Ausreise und den Ausreisegründen würden den Anforderungen an die Glaubhaftigkeit gemäss Art. 7 AsylG nicht standhalten. Auch würde bei einer Wahrunterstellung der Vorbringen bezüglich angeblicher Haft im November 2011 und Ausreise im Januar 2015 kein genügender zeitlicher und kausaler Zusammenhang bestehen, um diese als asylrelevant zu betrachten. Weiter sei es der Beschwerdeführerin auch nicht gelungen, das Vorliegen von subjektiven Nachfluchtgründen (infolge illegaler Ausreise) glaubhaft zu machen.</w:t>
      </w:r>
    </w:p>
    <w:p>
      <w:r>
        <w:rPr>
          <w:b/>
        </w:rPr>
        <w:t>E. 4.2</w:t>
      </w:r>
    </w:p>
    <w:p>
      <w:r>
        <w:t>Die Beschwerdeführerin hält - nebst einigen Ausführungen betreffend ihre Glaubhaftigkeit - im Wesentlichen fest, dass die Verfügung der Vorinstanz nur im Flüchtlingspunkt angefochten werde. Auch wenn nicht bestritten werde, dass der zeitliche und kausale Zusammenhang zwischen der Inhaftierung im 2011 und der Ausreise im 2015 nicht gegeben sei, so habe sie die Inhaftierung trotzdem glaubhaft geschildert, was bezüglich der allgemeinen Glaubwürdigkeit und der illegalen Ausreise relevant sei. Schliesslich bringt die Beschwerdeführerin vor, sie habe ihre illegale Ausreise glaubhaft dargelegt und sei bei einer Rückreise in ihr Heimatland als politische Opponentin gefährdet. Aufgrund der Menschenrechtslage in Eritrea, beziehungsweise weil ihr dort am Flughafen eine willkürliche Festnahme, unmenschliche Behandlung sowie Folter und anschliessende Inhaftierung oder direkte Zuführung zum Militärdienst drohe, sei der Wegweisungsvollzug unzulässig.</w:t>
      </w:r>
    </w:p>
    <w:p>
      <w:r>
        <w:rPr>
          <w:b/>
        </w:rPr>
        <w:t>E. 4.3.1</w:t>
      </w:r>
    </w:p>
    <w:p>
      <w:r>
        <w:t>Die Beschwerdeführerin beantragt zwar explizit die Aufhebung der Ziffer 2 des Dispositivs, stellt aber in ihren Ausführungen klar, dass der Asylpunkt nicht Prozessgegenstand sei und die Verfügung der Vorinstanz nur im Flüchtlingspunkt angefochten werde. Ob die geltend gemachten Vorfluchtgründe glaubhaft sind, kann infolgedessen offen gelassen werden, zumal die Beschwerdeführerin den fehlenden zeitlichen und kausalen Zusammenhang zwischen der geltend gemachten Inhaftierung im 2011 und der Ausreise im 2015 auch nicht bestreitet.</w:t>
      </w:r>
    </w:p>
    <w:p>
      <w:r>
        <w:rPr>
          <w:b/>
        </w:rPr>
        <w:t>E. 4.3.2</w:t>
      </w:r>
    </w:p>
    <w:p>
      <w:r>
        <w:t>Aufgrund der oben dargelegten Praxisänderung (E. 3.4) kann auch die Frage der Glaubhaftigkeit der illegalen Ausreise vorliegend offen gelassen werden. Auf die entsprechenden Erwägungen in der Verfügung und die Entgegnungen in der Beschwerde braucht deshalb nicht eingegangen zu werden. Gemäss aktueller Praxis des Gerichts kann allein aufgrund einer illegalen Ausreise keine begründete Furcht vor asylrechtlich beachtlicher Verfolgung angenommen werden (ausführlich dazu Urteil D- 7898/2015 E. 4.6-5.1). Nachdem die Beschwerdeführerin neben der illegalen Ausreise keine zusätzlichen Anknüpfungspunkte für eine Verschärfung ihres Profils glaubhaft machen konnte, ist vorliegend nicht von einer flüchtlingsrechtlich beachtlichen Verfolgung auszugehen.</w:t>
      </w:r>
    </w:p>
    <w:p>
      <w:r>
        <w:rPr>
          <w:b/>
        </w:rPr>
        <w:t>E. 4.4</w:t>
      </w:r>
    </w:p>
    <w:p>
      <w:r>
        <w:t>Wie die Vorinstanz kommt das Gericht deshalb zum Schluss, dass die Beschwerdeführerin keine begründete Furcht vor ernsthaften Nachteilen im Sinne von Art. 3 AsylG geltend machen kann. Die Vorinstanz hat daher zu Recht ihre Flüchtlingseigenschaft verneint.</w:t>
      </w:r>
    </w:p>
    <w:p>
      <w:r>
        <w:rPr>
          <w:b/>
        </w:rPr>
        <w:t>E. 5</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7</w:t>
      </w:r>
    </w:p>
    <w:p>
      <w:r>
        <w:t>Bei diesem Ausgang des Verfahrens wären die Kosten der Beschwerdeführerin aufzuerlegen (Art. 63 Abs. 1 VwVG, Art. 1-3 des Reglements vom 21. Februar 2008 über die Kosten und Entschädigungen vor dem Bundesverwaltungsgericht [VGKE, SR 173.320.2]). Da ihr mit Verfügung vom 17. August 2016 die unentgeltliche Prozessführung gewährt wurde, sind jedoch keine Verfahrenskosten zu erheben. Der am 12. August 2016 geleistete Kostenvorschuss in Höhe von Fr. 600.- ist der Beschwerdeführerin rückzuerstatten.</w:t>
      </w:r>
    </w:p>
    <w:p>
      <w:r>
        <w:rPr>
          <w:b/>
        </w:rPr>
        <w:t>E. 8</w:t>
      </w:r>
    </w:p>
    <w:p>
      <w:r>
        <w:t>Mit Zwischenverfügung vom 17. August 2016 wurde der Beschwerdeführerin die unentgeltliche Rechtsverbeiständung gewährt und MLaw Angela Stettler als amtliche Rechtsvertreterin eingesetzt. Die amtliche Vertreterin wies in ihrer Kostennote vom 2. Dezember 2016 bei einem Stundenansatz von Fr. 250.- und einem zeitlichen Aufwand von 8.6 Stunden einen totalen Aufwand von insgesamt Fr. 2'336.70 (inkl. Auslagen und MWST) aus. Angesichts der Tatsache, dass die Rechtsvertreterin sich nicht als Anwältin ausgewiesen hat, ist der Stundenansatz auf Fr. 150.- zu reduzieren. Unter Berücksichtigung der in Betracht zu ziehenden Berechnungsfaktoren (Art. 9-13 VGKE) ist das amtliche Honorar auf insgesamt Fr. 1'407.90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