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E-4356/2015 vom 27. Juli 2015</w:t>
      </w:r>
    </w:p>
    <w:p>
      <w:r>
        <w:t>Bundesverwaltungsgericht, 2015-07-27, DE</w:t>
      </w:r>
    </w:p>
    <w:p>
      <w:r>
        <w:rPr>
          <w:b/>
        </w:rPr>
        <w:t xml:space="preserve">Quelle: </w:t>
      </w:r>
      <w:r>
        <w:t>https://mcp.opencaselaw.ch/entscheid/bvger_E-4356_2015</w:t>
      </w:r>
    </w:p>
    <w:p>
      <w:r>
        <w:t>FR: TAF E-4356/2015 du 27 juillet 2015</w:t>
      </w:r>
    </w:p>
    <w:p>
      <w:r>
        <w:t>IT: TAF E-4356/2015 del 27 luglio 2015</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formgenügend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Beschwerdeführerin beantragt die Ansetzung einer Frist zur Beschwerdeergänzung. Die gesetzlichen Voraussetzungen von Art. 53 VwVG zur ergänzenden Beschwerdeschrift (aussergewöhnlicher Umfang, besondere Schwierigkeiten der Beschwerdesache etc.) sind vorliegend offensichtlich nicht erfüllt, weshalb der Antrag abzuweisen ist.</w:t>
      </w:r>
    </w:p>
    <w:p>
      <w:r>
        <w:rPr>
          <w:b/>
        </w:rPr>
        <w:t>E. 4.1</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4.2</w:t>
      </w:r>
    </w:p>
    <w:p>
      <w:r>
        <w:t>Unter dem Begriff der minderjährigen Kinder im Sinne von Art. 51 Abs. 1 AsylG werden nicht nur die gemeinsamen Kinder der Partner, sondern auch die Stief- und Adoptivkinder, Pflegekinder und Andere subsumiert, da die Norm nach ihrer ratio legis die Herstellung eines einheitlichen Rechtsstatus innerhalb der Kernfamilie bezweckt (vgl. Botschaft vom 31. August 1977 zum Asylgesetz vom 5. Oktober 1979, BBl 1977 III 117; EMARK 1997 Nr. 1 E. 5b S. 6 f.).</w:t>
      </w:r>
    </w:p>
    <w:p>
      <w:r>
        <w:rPr>
          <w:b/>
        </w:rPr>
        <w:t>E. 5.1</w:t>
      </w:r>
    </w:p>
    <w:p>
      <w:r>
        <w:t>Die Vorinstanz kam in der angefochtenen Verfügung zum Schluss, es stehe fest, dass B._______ nicht das Pflegekind der Beschwerdeführerin sei und somit nicht zu deren Kernfamilie gehöre. Die Beschwerdeführerin habe in der Befragung zur Person angegeben, sie habe nur vier Kinder und habe kein Pflegekind erwähnt. Sie habe zwar eine Schwester namens B._______ erwähnt, jedoch gesagt, diese sei 28 Jahre alt. Zudem habe sie angegeben, ihr Haushalt bestehe aus fünf Personen, womit das Pflegekind nicht mitgezählt worden sei. Sorgerechtsdokumente habe sie keine eingereicht.</w:t>
      </w:r>
    </w:p>
    <w:p>
      <w:r>
        <w:rPr>
          <w:b/>
        </w:rPr>
        <w:t>E. 5.2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5.3</w:t>
      </w:r>
    </w:p>
    <w:p>
      <w:r>
        <w:t>Der Schlussfolgerung der Vorinstanz ist zuzustimmen. Der Beschwerdeführerin gelingt es nicht, nachzuweisen oder zumindest glaubhaft zu machen, dass ihre Schwester als Pflegekind Teil der vorbestandenen Familiengemeinschaft ist und somit unter den Begriff der "minderjährigen Kinder" von Art. 51 Abs. 1 AsylG fallen würde. So stellt die Vor­instanz zutreffend fest, dass die Beschwerdeführerin in der Befragung zur Person zwar eine Schwester namens B._______ erwähnt, jedoch angibt, diese sei 28 Jahre alt (SEM-Akten, A3/11 S. 5). Weder in der Befragung zur Person noch in der Anhörung erwähnt die Beschwerdeführerin jemals ein Pflegekind, obwohl öfters Fragen zu ihrer Familie, ihrem Haushalt und ihren Kindern gestellt wurden. So erwähnt sie auch, dass ihre Familie aus fünf Personen bestanden habe (SEM-Akten, A15/22 F154), was ausschliesst, dass noch ein fünftes Kind im Haushalt gelebt hat. Ausserdem sagt die Beschwerdeführerin, sie habe seit ihrer Heirat im März 2008 bis im Juli 2012 in C._______ gelebt. Ihre Schwester B._______ hingegen lebe in ihrem Geburtsdorf D._______ (SEM-Akten, A3/11 S. 5). Dokumente, die das Vorhandensein eines Pflegekindes zumindest glaubhaft machen könnten (Sorgerechtsbestätigung, Familienfotos), reichte die Beschwerdeführerin keine ein. Aus den eingereichten Beweismitteln (u.a. eine Geburtsurkunde von B._______) kann die Beschwerdeführerin nichts zu ihren Gunsten ableiten.</w:t>
      </w:r>
    </w:p>
    <w:p>
      <w:r>
        <w:rPr>
          <w:b/>
        </w:rPr>
        <w:t>E. 5.4</w:t>
      </w:r>
    </w:p>
    <w:p>
      <w:r>
        <w:t>Demnach hat die Vorinstanz zu Recht B._______ die Einreise in die Schweiz nicht bewilligt und das Gesuch um Familiennachzug abgelehnt. Damit besteht auch keine Veranlassung, die Sache wie im Eventualantrag beantragt zur Neubeurteilung an die Vorinstanz zurückzuweisen.</w:t>
      </w:r>
    </w:p>
    <w:p>
      <w:r>
        <w:rPr>
          <w:b/>
        </w:rPr>
        <w:t>E. 6</w:t>
      </w:r>
    </w:p>
    <w:p>
      <w:r>
        <w:t>Aus diesen Erwägungen ergibt sich, dass die angefochtene Verfügung Bundesrecht nicht verletzt und auch sonst nicht zu beanstanden ist (Art. 106 Abs. 1 AsylG).</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Urteil ist der Antrag auf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