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E-4349/2011 vom 5. September 2011</w:t>
      </w:r>
    </w:p>
    <w:p>
      <w:r>
        <w:t>Bundesverwaltungsgericht, 2011-09-05, DE</w:t>
      </w:r>
    </w:p>
    <w:p>
      <w:r>
        <w:rPr>
          <w:b/>
        </w:rPr>
        <w:t xml:space="preserve">Quelle: </w:t>
      </w:r>
      <w:r>
        <w:t>https://mcp.opencaselaw.ch/entscheid/bvger_E-4349_2011</w:t>
      </w:r>
    </w:p>
    <w:p>
      <w:r>
        <w:t>FR: TAF E-4349/2011 du 5 septembre 2011</w:t>
      </w:r>
    </w:p>
    <w:p>
      <w:r>
        <w:t>IT: TAF E-4349/2011 del 5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In der Rechtsmitteleingabe machen die Beschwerdeführenden zunächst geltend, sie hätten vor dem Entscheid durch die Botschaft angehört werden müssen um ihre Situation persönlich darlegen zu können. Sinngemäss machen sie somit geltend, das BFM habe das rechtliche Gehör nicht hinreichend gewährt und insoweit den rechtserheblichen Sachverhalt nicht richtig festgestellt.</w:t>
      </w:r>
    </w:p>
    <w:p>
      <w:r>
        <w:rPr>
          <w:b/>
        </w:rPr>
        <w:t>E. 5.2</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5.3</w:t>
      </w:r>
    </w:p>
    <w:p>
      <w:r>
        <w:t>Das Bundesverwaltungsgericht hat in Auslegung von Art. 19 AsylG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auch erübrigen, wenn der Sachverhalt bereits aufgrund des eingereichten Asylgesuchs als entscheidreif erstellt erscheint; der asylsuchenden Person ist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w:t>
      </w:r>
    </w:p>
    <w:p>
      <w:r>
        <w:rPr>
          <w:b/>
        </w:rPr>
        <w:t>E. 5.4</w:t>
      </w:r>
    </w:p>
    <w:p>
      <w:r>
        <w:t>Den Akten ist zu entnehmen, dass die Schweizerische Botschaft in Bogotá die Beschwerdeführenden nicht zu ihren Asylgründen befragt hat. Die Beschwerdeführenden haben mehrere Eingaben und eine umfangreiche Dokumentation eingereicht. Aufgrund dieser Informationen durfte das BFM ohne weiteres davon ausgehen, dass die für die Beurteilung des Gesuchs notwendigen Angaben vorliegen, namentlich die Personalien der Beschwerdeführenden sowie die Gründe für die Einreichung der Asylgesuche. Diese Erkenntnis teilte es den Beschwerdeführenden mit Schreiben vom 4. März 2011 mit und gab ihnen gleichzeitig in Beachtung der in BVGE 2007/30 festgelegten Vorgehensweise Gelegenheit, sich nochmals zu ihrer aktuellen Gefährdung im Heimatstaat, der Möglichkeit in einem anderen Staat als der Schweiz um Schutz zu suchen, ihrer Beziehungsnähe zur Schweiz sowie ihrer Assimilationsmöglichkeiten und dem sich abzeichnenden negativen Entscheid zu äussern. Innert der angesetzten Frist reichten die Beschwerdeführenden am 28. März 2011 ihre Stellungnahme ein. Diese Ausführungen änderten am Schluss des BFM, der Sachverhalt sei abschliessend erstellt, nichts. Sodann hat es - wie gemäss der Rechtsprechung erforderlich - in der angefochtenen Verfügung dargelegt, aus welchen Gründen es auf eine Anhörung verzichtet habe. Mit dieser Vorgehensweise hat das BFM nach Ansicht des Gerichts den Anforderungen an die Feststellung des rechtserheblichen Sachverhalts Genüge getan. Es ist somit in materieller Hinsicht zu prüfen, ob das BFM den Beschwerdeführenden zu Recht die Einreise in die Schweiz verweigert hat.</w:t>
      </w:r>
    </w:p>
    <w:p>
      <w:r>
        <w:rPr>
          <w:b/>
        </w:rPr>
        <w:t>E. 6.1</w:t>
      </w:r>
    </w:p>
    <w:p>
      <w:r>
        <w:t>Das BFM kann ein im Ausland gestelltes Asylgesuch ablehnen, wenn die asylsuchende Person keine Verfolgung glaubhaft machen (vgl. Art. 3 und Art. 7 AsylG) oder ihr die Aufnahme in einem Drittstaat zugemutet werden kann (vgl. Art. 52 Abs. 2 AsylG).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6.2</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6.3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7.1</w:t>
      </w:r>
    </w:p>
    <w:p>
      <w:r>
        <w:t>Das BFM verweigerte den Beschwerdeführenden die Einreise in die Schweiz und lehnte die Asylgesuche ab. Zur Begründung führte es aus, bei den Beschwerdeführenden handle es sich nicht um landesweit bekannte Persönlichkeiten. Es sei daher nicht davon auszugehen, dass sie von ihren Verfolgern an jedem beliebigen Ort in Kolumbien ausfindig gemacht werden können. Zwar sei gemäss den eingereichten Beweismitteln das Risikoprofil der Beschwerdeführenden als sehr hoch eingestuft worden. Dementsprechend hätten sie durch die Polizei Schutz erhalten, was das Risiko vermindere. Trotz der geltend gemachten Gefährdung seien die Beschwerdeführenden nach wie vor in C._______ wohnhaft, was gegen eine akute Gefährdung spreche. In An-betracht dieser Sachlage hätten sie eine innerstaatliche Fluchtalternative. Ferner handle es sich bei den geltend gemachten Erpressungen um kriminelle Machenschaften seitens der Paramilitärs und nicht um eine Verfolgung im Sinne von Art. 3 AsylG. Weiter führt die Vorinstanz aus, die Asylgesuche könnten auch gestützt auf Art. 52 Abs. 2 AsylG abgelehnt werden. Gemäss diesem Artikel könne ein Asylgesuch eines sich im Ausland befindenden Ausländers abgelehnt werden, wenn ihm zugemutet werden könne, sich in einem anderen Staat um Aufnahme zu bemühen. Dabei sei das Vorhandensein enger Bindungen zur Schweiz eines der wesentlichen Kriterien, welches zur Erteilung einer Einreisebewilligung führe. Die Beschwerdeführenden machten keine besonders nahen Beziehungen zur Schweiz geltend. Unter diesen Umständen sei es ihnen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über ein eigenes, gesetzlich geregeltes Verfahren zur Anerkennung von Flüchtlingen verfügen. Namentlich Argentinien und Brasilien würden über ein im Allgemeinen formelles und gesichertes Asylverfahren verfügen.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sämtliche umliegende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erscheinen. Hinzu komme, dass das UNHCR in diesen Ländern vor Ort sei und während der ersten Monaten wirtschaftliche Unterstützung an Asylsuchende und Flüchtlinge gewähre. Den Beschwerdeführenden sei es somit zumutbar, sich in einem anderen Staat um Schutz zu bemühen.</w:t>
      </w:r>
    </w:p>
    <w:p>
      <w:r>
        <w:rPr>
          <w:b/>
        </w:rPr>
        <w:t>E. 7.2</w:t>
      </w:r>
    </w:p>
    <w:p>
      <w:r>
        <w:t>In der Rechtsmitteleingabe machen die Beschwerdeführenden geltend, sie würden weiterhin von den Paramilitärs bedroht und eingeschüchtert, weil sie diese bei den Behörden angezeigt hätten. Weiter führen die Beschwerdeführenden aus, ein innerstaatliches Ausweichen sei für sie nicht möglich. Sie hätten ihre wirtschaftliche Lebensgrundlage und ihre persönlichen Beziehungen in C._______. Zwischenzeitlich hätten sie sich mit ihren Nachbarn zusammen getan und eine soziale Gemeinschaft gebildet. Jeder Unbekannte beziehungsweise jedes unbekannte Fahrzeug werde umgehend bei den Behörden gemeldet.</w:t>
      </w:r>
    </w:p>
    <w:p>
      <w:r>
        <w:rPr>
          <w:b/>
        </w:rPr>
        <w:t>E. 7.3</w:t>
      </w:r>
    </w:p>
    <w:p>
      <w:r>
        <w:t>Vorweg ist festzuhalten, dass sowohl das BFM als auch das Bundesverwaltungsgericht nicht bestreiten, dass die Beschwerdeführenden seitens der Paramilitärs bedroht und erpresst werden. Indes gelangt das Gericht zum Schluss, dass das BFM in der angefochtenen Verfügung einerseits zutreffend festgestellt hat, den Beschwerdeführenden würde eine valable innerstaatliche Fluchtalternative offenstehen, weshalb sie nicht auf den Schutz der Schweiz angewiesen seien. Andererseits hat es ausführlich erwogen, dass es den Beschwerdeführenden zumutbar und möglich ist, sich in einem der Nachbarstaaten Kolumbiens um Schutz vor allfälliger Verfolgung zu bemühen. An diesen Feststellungen vermag der Hinweis der Beschwerdeführenden in der Rechtsmitteleingabe, sie hätten keine persönliche Beziehungen beziehungsweise keine Lebensgrundlage in einem anderen Landesteil Kolumbiens beziehungsweise ausserhalb Kolumbiens, nichts zu ändern. Einzig ist darauf zu verweisen, dass sie auch hier in der Schweiz niemanden kennen und keine Lebensgrundalge haben. Sodann ist festzuhalten, dass die Beschwerdeführenden auch in der Rechtsmitteleingabe keinen persönlichen Bezug zur Schweiz darlegen. Demnach ist mit der Vorinstanz zu schliessen, dass es ihnen zuzumuten ist, in einem anderen Land als der Schweiz um Asylgewährung nachzusuchen. Um diesbezüglich Wiederholungen zu vermeiden, kann vollumfänglich auf die zutreffenden Erwägungen in der angefochtenen Verfügung verwiesen werden. Insgesamt ergeben sich somit keine Anhaltspunkte, die darauf schliessen liessen, es sei den Beschwerdeführenden praktisch unmöglich oder objektiv unzumutbar, sich in einen anderen Staat, insbesondere einen der Nachbarstaaten Kolumbiens, zu begeben.</w:t>
      </w:r>
    </w:p>
    <w:p>
      <w:r>
        <w:rPr>
          <w:b/>
        </w:rPr>
        <w:t>E. 8</w:t>
      </w:r>
    </w:p>
    <w:p>
      <w:r>
        <w:t>Zusammenfassend ist festzustellen, dass die Beschwerdeführenden weder schutzbedürftig im Sinne von Art. 3 AsylG sind, noch die Anforderungen an eine Aufnahme in der Schweiz gemäss Art. 52 Abs. 2 AsylG erfüllt sind. An diesem Schluss vermögen auch die auf Beschwerdestufe lediglich in Kopie eingereichten Beweismittel nichts zu ändern. Das BFM hat den Beschwerdeführenden demnach zur Recht die Einreise in die Schweiz nicht bewilligt und die Asylgesuche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