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E-4346/2016 vom 16. August 2016</w:t>
      </w:r>
    </w:p>
    <w:p>
      <w:r>
        <w:t>Bundesverwaltungsgericht, 2016-08-16, DE</w:t>
      </w:r>
    </w:p>
    <w:p>
      <w:r>
        <w:rPr>
          <w:b/>
        </w:rPr>
        <w:t xml:space="preserve">Quelle: </w:t>
      </w:r>
      <w:r>
        <w:t>https://mcp.opencaselaw.ch/entscheid/bvger_E-4346_2016</w:t>
      </w:r>
    </w:p>
    <w:p>
      <w:r>
        <w:t>FR: TAF E-4346/2016 du 16 août 2016</w:t>
      </w:r>
    </w:p>
    <w:p>
      <w:r>
        <w:t>IT: TAF E-4346/2016 del 16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2.1 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w:t>
      </w:r>
    </w:p>
    <w:p>
      <w:r>
        <w:t>4.1 Die Vorinstanz lehnte das Asylgesuch mangels Glaubhaftigkeit der Angaben des Beschwerdeführers ab. Der Beschwerdeführer habe widersprüchliche Angaben über seine Identität und seine Asylgründe gemacht. Er behaupte, sein Geburtsjahr sei (...). Gleichzeitig gebe er an, beim Tod seines Vaters im Jahr (...) (...) Jahre alt gewesen zu sein. Demzufolge wäre der Beschwerdeführer älter, als er ursprünglich angegeben habe. Darauf deute auch die Angabe des Beschwerdeführers hin, dass die im Zusammenhang mit dem Wahljahr 2012 ausgestellte Identitätskarte das Geburtsjahr (...) aufweise. In Ghana liege das Wahlalter bei 18 Jahren, weshalb er (...) oder früher geboren sei. In der Erstbefragung habe der Beschwerdeführer sein Asylgesuch nur mit wirtschaftlichen Motiven begründet. In der Zweitanhörung habe er behauptet, er habe bei einem Streit einen Mann erstochen und sei aus Furcht vor einer Exekution geflüchtet. Die angegebene Reisedauer von sechs Tagen (6.-12. November 2015) für die Reise auf dem Landweg von Ghana via Niger, Libyen, Italien in die Schweiz sei aufgrund der schwierigen Verhältnisse in Niger und Libyen ebenfalls unglaubhaft.</w:t>
      </w:r>
    </w:p>
    <w:p>
      <w:r>
        <w:rPr>
          <w:b/>
        </w:rPr>
        <w:t>E. 4.2</w:t>
      </w:r>
    </w:p>
    <w:p>
      <w:r>
        <w:t>Der Beschwerdeführer macht in seiner Eingabe geltend, bei einer Rückschaffung nach Ghana sei sein Leben in Gefahr, da die Familie des Getöteten auf Rache sinne.</w:t>
      </w:r>
    </w:p>
    <w:p>
      <w:r>
        <w:rPr>
          <w:b/>
        </w:rPr>
        <w:t>E. 4.3</w:t>
      </w:r>
    </w:p>
    <w:p>
      <w:r>
        <w:t>Die Vorinstanz hat zutreffend festgestellt, dass bereits die verschiedenen Angaben des Beschwerdeführers über seine Identität seine Glaubhaftigkeit beträchtlich reduzieren. Dies umso mehr, als sich der Beschwerdeführer in seiner Eingabe in keinster Weise dazu äussert. Dass er erst in der Zweitanhörung als Asylgrund angeführt hat, er habe in einem Streit um ein Stück Land einen Mann erstochen und fürchte sich nun bei einer Rückkehr nach Ghana vor einer Exekution, begründet der Beschwerdeführer damit, dass er bei der Erstanhörung Angst gehabt habe. Zu Beginn der Erstanhörung wurde der Beschwerdeführer daraufhin gewiesen, dass seine Aussagen vertraulich behandelt würden, sein Heimatland keine Kenntnisse von den Aussagen erhielte und er deshalb ohne Furcht sprechen könne. Zudem wurde er darauf aufmerksam gemacht, dass widersprüchliche, lückenhafte oder falsche Angaben sich negativ auf den Asylentscheid auswirken könnten. Vor diesem Hintergrund ist das Verschweigen des Asylgrunds aufgrund angeblicher Angst nicht nachvollziehbar, zumal der Beschwerdeführer selbst angibt, bis anhin nie Probleme mit der Polizei oder anderen Behörden in seinem Heimatland gehabt zu haben und er folglich auch keine negativen Erfahrungen mit den genannten Institutionen gemacht haben wird. Der nachträglich angeführte Vorfall mit dem Landstreit und der Tötung des Mannes ist somit als unglaubhaft einzustufen; er stellt eine blosse Schutzbehauptung dar. Die wirtschaftlichen Motive des Beschwerdeführers sind kein Asylgrund nach Art. 3 AsylG. Die Vorinstanz hat das Asylgesuch somit zu Recht abgewiesen.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w:t>
      </w:r>
    </w:p>
    <w:p>
      <w:r>
        <w:t>6.1 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keinerlei Anhaltspunkte dafür, dass der Beschwerdeführer für den Fall einer Ausschaffung nach Ghana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Bundesrat hat Ghana als verfolgungssicheren Staat (safe country) im Sinne von Art. 6a Abs. 2 lit. a AsylG bezeichnet. Aufgrund von Angaben des Beschwerdeführers über Schmerzen am ganzen Körper wurde eine medizinische Untersuchung durchgeführt. Im Arztbericht vom 23. Juni 2016 wird ausgeführt, der Beschwerdeführer zeige depressive Reaktionen bei Belastungssituationen und weise eine mittelschwere Neutropenie auf. Abschliessend ist jedoch festgehalten, dass keine Hinweise auf eine relevante Gesundheitsgefährdung bestünden. Die Vorinstanz hat damit den Wegweisungsvollzug zu Recht für zumutbar gehalten.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