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E-4344/2018 vom 6. August 2018</w:t>
      </w:r>
    </w:p>
    <w:p>
      <w:r>
        <w:t>Bundesverwaltungsgericht, 2018-08-06, DE</w:t>
      </w:r>
    </w:p>
    <w:p>
      <w:r>
        <w:rPr>
          <w:b/>
        </w:rPr>
        <w:t xml:space="preserve">Quelle: </w:t>
      </w:r>
      <w:r>
        <w:t>https://mcp.opencaselaw.ch/entscheid/bvger_E-4344_2018</w:t>
      </w:r>
    </w:p>
    <w:p>
      <w:r>
        <w:t>FR: TAF E-4344/2018 du 6 août 2018</w:t>
      </w:r>
    </w:p>
    <w:p>
      <w:r>
        <w:t>IT: TAF E-4344/2018 del 6 agosto 2018</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von Erwägung 3.1 - einzutreten (Art. 108 Abs. 2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3.1</w:t>
      </w:r>
    </w:p>
    <w:p>
      <w:r>
        <w:t>Bei Beschwerden gegen einen Nichteintretensentscheid ist die Beurteilungskompetenz der Beschwerdeinstanz grundsätzlich auf die Frage beschränkt, ob die Vorinstanz zu Recht auf das Asylgesuch nicht eingetreten ist (vgl. BVGE 2012/4 E. 2.2). Demzufolge ist auf das Rechtsbegehren, dem Beschwerdeführer sei Asyl zu gewähren oder jedenfalls die Flüchtlingseigenschaft zu erteilen, nicht einzutreten.</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Gemäss Art. 31a Abs. 1 Bst. c AsylG wird auf ein Asylgesuch in der Regel nicht eingetreten, wenn Asylsuchende in einen Drittstaat zurückkehren können, in welchem sie sich vorher aufgehalten haben. Diese Bestimmung findet keine Anwendung, wenn Hinweise darauf bestehen, dass im Drittstaat kein effektiver Schutz vor Rückschiebung nach Art. 5 Abs. 1 AsylG besteht (Art. 31a Abs. 2 AsylG).</w:t>
      </w:r>
    </w:p>
    <w:p>
      <w:r>
        <w:rPr>
          <w:b/>
        </w:rPr>
        <w:t>E. 4.2</w:t>
      </w:r>
    </w:p>
    <w:p>
      <w:r>
        <w:t>Die Vorinstanz begründet ihren Entscheid damit, der Beschwerdeführer sei mit einem missbräuchlich verwendeten Schweizer Flüchtlingsausweis unter dem Namen B._______ direkt von Delhi, Indien, mit dem Flug LX 147 nach Zürich gereist. Seine Angaben zur Ausreise aus China via Nepal nach Thailand und seine Weiterreise via eines unbekannten Ortes in die Schweiz seien realitätsfremd und unsubstantiiert ausgefallen. Hätte er diese Route tatsächlich mit denselben Reisepapieren absolviert, würden die Reiseetappen von den Fluggesellschaften registriert. Es gebe aber keine Registrierung einer Flugreise von Thailand an eine unbekannte Destination beziehungsweise nach Delhi unter dem von ihm benutzten Namen. Zwischen Nepal und Indien herrsche freier Personenverkehr, weshalb eine Flugreise von Nepal via Thailand nach Indien nicht plausibel sei. Insgesamt stehe fest, dass sich der Beschwerdeführer in Indien aufgehalten habe. Ethnische Tibeter könnten sich in Indien ein Registration Certificate ausstellen lassen, das unter anderem zu einem legalen Aufenthaltsstatus, zum Annehmen einer Arbeitsstelle und zur Wohnungsmiete ermächtige. Nach einem längeren Aufenthalt in Indien könnten Tibeter die indische Staatsbürgerschaft erwerben. Indien habe zwar das Abkommen vom 28. Juli 1951 über die Rechtsstellung der Flüchtlinge (FK, SR 0.142.30) nicht ratifiziert und verfüge auch nicht über ein eigentliches Asylrecht. Dennoch stünden in Indien die Rechte der Flüchtlinge und Asylsuchenden unter dem Schutz der Verfassung, und der Supreme Court habe ein landesrechtliches Non-Refoulement-Gebot statuiert. Indien gelte daher als sicherer Drittstaat. Es gebe keine Hinweise, dass der Beschwerdeführer in Indien keinen Zugang zum Asylsystem habe oder kein effektiver Schutz vor Rückschiebung bestehe. Die Rückkehr nach Indien sei auch tatsächlich möglich, da Personen, denen nach Erreichen eines internationalen Flughafens die Einreise verweigert werde, an den Ausgangspunkt der Flugreise zurückkehren könnten, unbesehen davon, mit welchen Papieren sie die Reise absolviert hätten.</w:t>
      </w:r>
    </w:p>
    <w:p>
      <w:r>
        <w:rPr>
          <w:b/>
        </w:rPr>
        <w:t>E. 4.3</w:t>
      </w:r>
    </w:p>
    <w:p>
      <w:r>
        <w:t>Der Beschwerdeführer bringt auf Beschwerdeebene im Wesentlichen vor, was er bereits an der Befragung ausgeführt hat. Er sei im Jahr 2016 auf Anraten seiner Mutter von Tibet nach Nepal gereist, weil in Tibet viele Leute verschwunden seien. In Nepal habe er gearbeitet. Aus Angst, an die nepalesische Polizei verraten zu werden, sei er im Mai 2018 nach Indien ausgereist. Einen Monat später sei er mit dem Flugzeug in die Schweiz gereist. Er sei in die Schweiz gekommen, um ein normales Leben ohne Angst zu führen.</w:t>
      </w:r>
    </w:p>
    <w:p>
      <w:r>
        <w:rPr>
          <w:b/>
        </w:rPr>
        <w:t>E. 4.4</w:t>
      </w:r>
    </w:p>
    <w:p>
      <w:r>
        <w:t>Der Beschwerdeführer bestreitet nicht, dass er von Indien in die Schweiz eingereist ist. In Übereinstimmung mit den Ausführungen der Vor-instanz ist somit davon auszugehen, dass er sich vor seiner Reise in die Schweiz in Indien aufgehalten hat. Indien ist ein sicherer Drittstaat, welcher effektiven Schutz vor Rückschiebung bietet (vgl. Urteil des BVGer D-3318/2017 vom 20. Juni 2017 E. 5.4). Die Ausnahmeklausel von Art. 31a Abs. 2 AsylG gelangt deshalb nicht zur Anwendung. Im Übrigen kann auf die zutreffenden Erwägungen der Vorinstanz betreffend Aufenthaltsregelung von Tibetern in Indien verwiesen werden. Die Vorinstanz ist somit zu Recht nicht auf das Asylgesuch des Beschwerdeführers eingetreten.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untersteht in Indien einem effektiven Refoulementschutz; er muss nicht befürchten, von Indien nach China abgeschoben zu werden. Aus den Akten ergeben sich zudem keine konkreten Anhaltspunkte dafür, dass er für den Fall einer Ausschaffung nach Indien dort mit beachtlicher Wahrscheinlichkeit einer nach Art. 3 EMRK oder Art. 1 FoK verbotenen Strafe oder Behandlung ausgesetzt wäre. Der Vollzug der Wegweisung nach Indien ist folglich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Indien gilt als sicherer Drittstaat. Der Beschwerdeführer ist jung, gesund und unabhängig. Er spricht Englisch und verfügt über Arbeitserfahrung. Es ist anzunehmen, dass er nicht aus ärmlichen Verhältnissen stammt, da er mit dem Flugzeug nach Europa gelangt ist. Der Wegweisungsvollzug ist somit auch in individueller Hinsicht zumutbar.</w:t>
      </w:r>
    </w:p>
    <w:p>
      <w:r>
        <w:rPr>
          <w:b/>
        </w:rPr>
        <w:t>E. 6.4</w:t>
      </w:r>
    </w:p>
    <w:p>
      <w:r>
        <w:t>Der Beschwerdeführer ist per Flugzeug von Indien in die Schweiz gereist, weshalb eine Rückkehr nach Indien tatsächlich möglich ist, da Personen, denen nach Erreichen eines internationalen Flughafens die Einreise verweigert wird, an den Ausgangspunkt der Flugreise zurückkehren können, unbesehen davon, mit welchen Papieren sie die Reise absolviert haben.</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soweit darauf einzutreten ist, abzuweisen.</w:t>
      </w:r>
    </w:p>
    <w:p>
      <w:r>
        <w:rPr>
          <w:b/>
        </w:rPr>
        <w:t>E. 8.1</w:t>
      </w:r>
    </w:p>
    <w:p>
      <w:r>
        <w:t>Die gestellten Begehren erweisen sich als aussichtslos, weshalb das Gesuch um unentgeltliche Prozessführung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