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E-4344/2011 vom 2. April 2013</w:t>
      </w:r>
    </w:p>
    <w:p>
      <w:r>
        <w:t>Bundesverwaltungsgericht, 2013-04-02, FR</w:t>
      </w:r>
    </w:p>
    <w:p>
      <w:r>
        <w:rPr>
          <w:b/>
        </w:rPr>
        <w:t xml:space="preserve">Quelle: </w:t>
      </w:r>
      <w:r>
        <w:t>https://mcp.opencaselaw.ch/entscheid/bvger_E-4344_2011</w:t>
      </w:r>
    </w:p>
    <w:p>
      <w:r>
        <w:t>FR: TAF E-4344/2011 du 2 avril 2013</w:t>
      </w:r>
    </w:p>
    <w:p>
      <w:r>
        <w:t>IT: TAF E-4344/2011 del 2 aprile 2013</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et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Les intéressés ont qualité pour recourir. Présentés dans la forme et dans le délai prescrits par la loi, les recours sont recevables (art. 48 et 52 PA et 108 al. 1 LAsi).</w:t>
      </w:r>
    </w:p>
    <w:p>
      <w:r>
        <w:rPr>
          <w:b/>
        </w:rPr>
        <w:t>E. 1.4</w:t>
      </w:r>
    </w:p>
    <w:p>
      <w:r>
        <w:t>Il convient, au vu du rapport de connexité étroit entre la procédure engagée par A._______ et celle, engagée par son fils B._______, de donner suite à leur requête tendant à la jonction de leurs causes et, pour des motifs d'économie de procédure, de ne rendre qu'un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 recours ne contient sur ce point ni arguments ni moyens de preuve susceptibles de remettre en cause le bien-fondé de la décision querellée.</w:t>
      </w:r>
    </w:p>
    <w:p>
      <w:r>
        <w:rPr>
          <w:b/>
        </w:rPr>
        <w:t>E. 3.2</w:t>
      </w:r>
    </w:p>
    <w:p>
      <w:r>
        <w:t>A l'appui de leur demande d'asile, les recourants ont déclaré qu'en raison de leur appartenance ethnique, ils avaient été harcelés par des inconnus, lesquels seraient régulièrement venus frapper nuitamment à la porte et aux fenêtres de leur domicile. Par ailleurs, A._______ aurait été blessée à la cheville par une tuile et B._______ aurait été frappé à la nuque. Selon leurs déclarations, leurs plaintes seraient restées lettres mortes, la police se déclarant dans l'incapacité d'agir contre ces hooligans.</w:t>
      </w:r>
    </w:p>
    <w:p>
      <w:r>
        <w:rPr>
          <w:b/>
        </w:rPr>
        <w:t>E. 3.3</w:t>
      </w:r>
    </w:p>
    <w:p>
      <w:r>
        <w:t>Il convient tout d'abord de souligner que l'appartenance à la minorité ethnique rom ne saurait impliquer, à elle seule, une persécution au sens de l'art. 3 LAsi. Si, en Serbie, les membres de ces minorités sont certes fréquemment victimes de brimades ou d'autres tracasseries de la part de tiers ou d'autorités locales, il ne peut être considéré qu'ils sont l'objet d'actes systématiques de violence ou de graves discriminations du seul fait de leur ethnie (cf. notamment dans ce sens arrêt du Tribunal administratif fédéral E-434/2010 du 30 juin 2010).</w:t>
      </w:r>
    </w:p>
    <w:p>
      <w:r>
        <w:rPr>
          <w:b/>
        </w:rPr>
        <w:t>E. 3.4</w:t>
      </w:r>
    </w:p>
    <w:p>
      <w:r>
        <w:t>Cela précisé, il y a lieu de relever que les agressions, dont les intéressés se sont dit avoir été victimes, émanent de tiers ; or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w:t>
      </w:r>
    </w:p>
    <w:p>
      <w:r>
        <w:rPr>
          <w:b/>
        </w:rPr>
        <w:t>E. 3.4.1</w:t>
      </w:r>
    </w:p>
    <w:p>
      <w:r>
        <w:t>Il s'agit donc d'examiner, en l'espèce, si les recourants peuvent bénéficier, en Serbie, d'un accès concret à des structures de protection adéquates et s'il peut être raisonnablement exigé d'eux qu'ils fassent appel à ce système de protection interne. 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(cf. European Commission, Serbia 2012 Progress Report, du 10 octobre 2012, ch. 23, UK Home Office, "Operational Guidance Note" du 1er septembre 2008, ch. 3.6.1 à 3.6.12, p. 3 à 5 ; notamment arrêts du Tribunal E-1842-/2012 du 19 avril 2012 consid. 4.4 p. 6, E-747/2010 du 20 octobre 2010, D-4882/2010 du 15 juillet 2010). Certes, comme déjà indiqué plus haut, le Tribunal est conscient que s'agissant de la situation générale des minorités ethniques en Serbie et en particulier celle des Roms, il a pu être constaté que ceux-ci pouvaient parfois faire l'objet de discriminations ou de tracasseries. Il n'en demeure pas moins que la Serbie a accompli d'importants efforts en vue de développer et d'améliorer le statut de la communauté rom, ainsi que de diminuer les comportements discriminatoires envers elle. Il convient de préciser que cette volonté de protection doit d'autant plus être admise que la Serbie a été désignée par le Conseil fédéral comme Etat exempt de persécutions, au sens de l'art. 6a al. 2 let. a LAsi, avec effet au 1er avril 2009 et a déposé, en date du 22 décembre 2009, une demande d'adhésion à l'Union européenne. Dès lors, la capacité et la volonté des autorités serbes d'empêcher la survenance d'agissements tels que ceux allégués par les recourants ne peuvent être déniées. En l'occurrence, les recourants ont toutefois allégué qu'ils s'étaient adressés à la police, mais sans succès, celle-ci se déclarant dans l'incapacité de mettre un terme aux agissements de ces hooligans. A ce sujet, le Tribunal observe que les recourants ont nullement étayé ces déclarations par des éléments tangibles, qui permettraient de retenir que les autorités serbes auraient refusé de leur accorder leur protection, en raison notamment de leur appartenance ethnique. A cela s'ajoute le fait qu'une protection nationale adéquate ne peut s'entendre comme la nécessité d'une protection absolue, aucun Etat n'étant en mesure de garantir une telle protection à chacun de ses citoyens, en tout lieu et à tout moment (arrêt du Tribunal administratif fédéral D-291/2009 du 5 novembre 2010 ; cf. également JICRA 2006 n° 18 consid. 10.3.2. p. 203, JICRA 1996 n° 28 consid. 3c/bb p. 272). Ceci observé, si les recourants avaient considéré que la police se désintéressait totalement de leur cas, il leur aurait appartenu d'engager d'autres démarches, à un échelon supérieur, pour faire valoir leurs droits et obtenir une protection adéquate. Ils auraient ainsi eu la possibilité de se plaindre de l'attitude des policiers locaux auprès d'autres autorités, qu'elles soient administratives, politiques, policières ou judiciaires, ce qu'ils n'ont pas fait en l'occurrence. Ils auraient également pu s'adresser à un avocat ou à une association défendant les intérêts de leur communauté, démarche qu'ils n'ont pas entreprise de manière avérée en l'espèce. En d'autres termes, il leur incombait de s'adresser en priorité aux autorités de leur pays, dans la mesure où la protection internationale revêt un caractère subsidiaire par rapport à la protection nationale, lorsque, comme en l'espèce, celle-ci existe, s'avère efficace et peut être requise sans restriction (cf. ATAF 2010/41 consid. 6.5.1 p. 582).</w:t>
      </w:r>
    </w:p>
    <w:p>
      <w:r>
        <w:rPr>
          <w:b/>
        </w:rPr>
        <w:t>E. 3.4.2</w:t>
      </w:r>
    </w:p>
    <w:p>
      <w:r>
        <w:t>Aussi, ils ne sauraient, en l'état, reprocher aux autorités de leur pays d'origine une éventuelle absence de volonté ou de capacité d'assurer leur protection, dans la mesure où ils n'ont manifestement pas épuisé dans ce dernier les possibilités de trouver une protection adéquate avant de solliciter celle d'un Etat tiers. Dans ces conditions, faute pour les intéressés d'avoir démontré qu'ils s'étaient employés à chercher une protection dans leur pays d'origine et que les autorités de celui-ci ne seraient pas en mesure de la leur apporter, le Tribunal constate que les motifs invoqués ne sont pas pertinents en matière d'asile.</w:t>
      </w:r>
    </w:p>
    <w:p>
      <w:r>
        <w:rPr>
          <w:b/>
        </w:rPr>
        <w:t>E. 3.5</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relevé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ATAF 2009/2 consid. 9.1 p. 19 et 2008/34 consid. 10 p. 510 ; cf. également arrêts de la Cour européenne des Droits de l'Homme [CourEDH] en l'affaire F. H. c/ Suède du 20 janvier 2009, requête n° 32621/06, et en l'affaire Saadi c/ Italie du 28 février 2008, requête n° 37201/06, par. 124 à 127, et réf. cit.).</w:t>
      </w:r>
    </w:p>
    <w:p>
      <w:r>
        <w:rPr>
          <w:b/>
        </w:rPr>
        <w:t>E. 6.5</w:t>
      </w:r>
    </w:p>
    <w:p>
      <w:r>
        <w:t>En l'espèce, il faut admettre que l'état de santé du recourant n'est pas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Or, tel n'est pas le cas, en l'occurrence, du recourant qui ne se trouve pas à un stade pathologique avancé et dont la mort n'apparaît manifestement pas comme une perspective proche (cf. consid. 7 ci-dessous).</w:t>
      </w:r>
    </w:p>
    <w:p>
      <w:r>
        <w:rPr>
          <w:b/>
        </w:rPr>
        <w:t>E. 6.6</w:t>
      </w:r>
    </w:p>
    <w:p>
      <w:r>
        <w:t>En outre, selon la jurisprudence de la CourEDH toujours, l'existence d'un risque de comportement auto-agressif de la personne dont l'éloignement a été ordonné n'astreint pas l'Etat contractant à s'abstenir d'exécuter la mesure envisagée s'il prend des mesures concrètes pour en prévenir la réalisation (cf. décision du 7 octobre 2004 de la CourEDH sur la recevabilité en l'affaire Sanda Dragan et autres c. Allemagne, requête no 33743/03, consid. 2a ; JICRA 2005 no 23 consid. 5.1 p. 212). Des antécédents de comportement suicidaire ou des idées suicidaires ne peuvent, en d'autres termes, motiver ordinairement une mesure de substitution pour illicéité du renvoi, aussi longtemps que l'ODM et les autorités cantonales compétentes parviennent à réduire fortement le risque de suicide, immanent à cette situation précaire, en mettant notamment en place des mesures réglementaires propres à assurer leur protection (cf. décision CourEDH, Adam Shafik Saied Al-Zawatia c. Suède, du 22 juin 2010, req. n° 50068/08,§ 57). Les troubles invoqués par le recourant ne sauraient dès lors conduire à une admission provisoire en Suisse pour illicéité de son renvoi (cf. arrêt du Tribunal fédéral du 16 août 2002, 2A.304/2002, consid. 4.3 ; arrêt CourEDH, Adam Shafik Saied Al-Zawatia c. Suède, précité). En conséquence, si la santé psychique de l'intéressé ne devait pas lui permettre de faire face à la situation de stress et de tensions liée à l'exécution de son renvoi dans son pays d'origine, pouvant ainsi entraîner des comportements auto- ou hétéro-agressifs, il appartiendrait aux autorités chargées de l'exécution du renvoi du recourant de prévoir un accompagnement par une personne dotée de compétences médicales ou par toute autre personne susceptible de lui apporter un soutien adéquat, s'il résultait d'un examen médical avant le départ qu'un tel accompagnement était nécessaire (cf. art. 92 LAsi et art. 58 al. 3 de l'ordonnance 2 du 11 août 1999 sur l'asile relative au financement [Ordonnance 2 sur l'asile, OA 2, RS 142.312]).</w:t>
      </w:r>
    </w:p>
    <w:p>
      <w:r>
        <w:rPr>
          <w:b/>
        </w:rPr>
        <w:t>E. 6.7</w:t>
      </w:r>
    </w:p>
    <w:p>
      <w:r>
        <w:t>Dans ces conditions, l'exécution du renvoi des recourants ne transgresse aucun engagement de la Suisse relevant du droit international, de sorte qu'elle demeure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Serbie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E-2190/2007 du 24 octobre 2012, consid. 7.3.1, ainsi que la jurisprudence citée).</w:t>
      </w:r>
    </w:p>
    <w:p>
      <w:r>
        <w:rPr>
          <w:b/>
        </w:rPr>
        <w:t>E. 7.3.1</w:t>
      </w:r>
    </w:p>
    <w:p>
      <w:r>
        <w:t>En l'espèce, B._______ souffre d'un état de stress post-traumatique complexe (F43.1) ainsi que d'un épisode dépressif moyen (F32.1). Ses troubles trouveraient leur origine dans le harcèlement continuel auquel il aurait été exposé dans son pays. Selon le certificat médical produit, il nécessiterait un suivi consistant en des entretiens psychiatriques à raison de une, voire deux fois par mois (9 consultations sur une période de 6 mois). Ces entretiens auraient lieu en anglais par l'intermédiaire d'un interprète. Le certificat médical préconise un suivi psychiatrique ainsi qu'une médication afin d'éviter une chronicité des troubles. Il est relevé qu'au vu de la personnalité de l'intéressé un renvoi pourrait impliquer un risque suicidaire.</w:t>
      </w:r>
    </w:p>
    <w:p>
      <w:r>
        <w:rPr>
          <w:b/>
        </w:rPr>
        <w:t>E. 7.3.2</w:t>
      </w:r>
    </w:p>
    <w:p>
      <w:r>
        <w:t>En l'espèce, le Tribunal observe que la Serbie dispose de structures médicales - auxquelles les Roms ont accès - et des médicaments nécessaires au traitement des maladies psychiques, dont les coûts sont généralement pris en charge par l'assurance-maladie obligatoire (cf. notamment arrêts du Tribunal administratif fédéral D-6908/2011 du 18 janvier 2012, E-747/2010 et E-3674/2010 du 20 octobre 2010 consid. 7.3.1, D 5962/2006 du 23 mars 2010 consid. 8.3.4, E-4066/2006 du 12 septembre 2008 consid. 6.6.3). L'accès aux soins gratuits peut toutefois se révéler problématique pour les personnes de retour au pays qui ne possèdent pas les documents d'identité nécessaires à la régularisation de leur séjour ou pour les Roms, à cause de l'absence chez eux de domicile fixe et de papiers d'identité (cf. The Country of Return Information Project, Country Sheet Serbia, juin 2009). Sous cet angle, il convient de relever que B._______ est au bénéfice d'une carte d'identité en cours de validité, ce qui devrait faciliter l'accès à des soins médicaux essentiels ainsi qu'aux prestations sociales. Le fait que ces soins ne correspondraient pas aux standards élevés prévalant en Suisse est sans pertinence. Ensuite, il doit être relevé que l'intéressé ne nécessite pas un suivi d'une telle ampleur qu'il ne pourrait effectuer celui-ci dans son pays d'origine et dans sa langue maternelle. En effet, il ressort du dossier que l'intéressé a toujours été suivi en ambulatoire. De plus, ses consultations psychia-triques semblent se dérouler en anglais par l'intermédiaire d'un interprète, ce qui est susceptible d'en atténuer leur efficacité. Enfin, au vu de la personnalité de l'intéressé, il est relevé qu'il est difficile d'établir une relation thérapeutique avec celui-ci. Compte tenu de tous ces éléments, le Tribunal juge que le suivi psychothérapeutique actuellement prodigué à l'intéressé ne nécessite pas impérativement qu'il reste en Suisse et qu'il peut le poursuivre, en cas de besoin, dans son pays d'origine. A cela s'ajoute que l'intéressé semble avoir trouvé en lui les ressources nécessaires pour faire face aux difficultés qu'il a dû affronter ces dernières années vu qu'il est relevé qu'il n'est plus en proie à des pensées suicidaires. Ces observations permettent également de pondérer les craintes des spécialistes en cas de renvoi de celui-ci dans son pays d'origine. Il appartient également à ses thérapeutes d'encadrer l'intéressé de manière à ce qu'il puisse faire face à un renvoi dans son pays d'origine.</w:t>
      </w:r>
    </w:p>
    <w:p>
      <w:r>
        <w:rPr>
          <w:b/>
        </w:rPr>
        <w:t>E. 7.4</w:t>
      </w:r>
    </w:p>
    <w:p>
      <w:r>
        <w:t>Les recourants n'ont ainsi pas réussi à rendre vraisemblable que l'exécution de leur renvoi en Serbie les mettraient concrètement en danger au sens de l'art. 83 al. 4 LEtr, que ce soit par rapport à la situation générale en Serbie ou par rapport au problème de santé invoqué, de manière à considérer leur retour comme inexigible.</w:t>
      </w:r>
    </w:p>
    <w:p>
      <w:r>
        <w:rPr>
          <w:b/>
        </w:rPr>
        <w:t>E. 7.5</w:t>
      </w:r>
    </w:p>
    <w:p>
      <w:r>
        <w:t>Compte tenu de ce qui précède, l'exécution du renvoi des intéressés doit être considérée comme raisonnablement exigible.</w:t>
      </w:r>
    </w:p>
    <w:p>
      <w:r>
        <w:rPr>
          <w:b/>
        </w:rPr>
        <w:t>E. 8</w:t>
      </w:r>
    </w:p>
    <w:p>
      <w:r>
        <w:t>L'exécution du renvoi est enfin possible (art. 83 al. 2 LEtr), les recourants étant par ailleurs tenus de collaborer à l'obtention de documents de voyage leur permettant de quitter la Suisse (art. 8 al. 4 LAsi).</w:t>
      </w:r>
    </w:p>
    <w:p>
      <w:r>
        <w:rPr>
          <w:b/>
        </w:rPr>
        <w:t>E. 9</w:t>
      </w:r>
    </w:p>
    <w:p>
      <w:r>
        <w:t>Cela étant, l'exécution du renvoi doit être déclarée conforme aux dispositions légales.</w:t>
      </w:r>
    </w:p>
    <w:p>
      <w:r>
        <w:rPr>
          <w:b/>
        </w:rPr>
        <w:t>E. 10</w:t>
      </w:r>
    </w:p>
    <w:p>
      <w:r>
        <w:t>Il s'ensuit que les recours, en tant qu'ils contestent la décision de renvoi et son exécution, doivent être également rejetés.</w:t>
      </w:r>
    </w:p>
    <w:p>
      <w:r>
        <w:rPr>
          <w:b/>
        </w:rPr>
        <w:t>E. 11</w:t>
      </w:r>
    </w:p>
    <w:p>
      <w:r>
        <w:t>Au vu l'issue de la cause, il y a lieu de mettre des frais de procédure, d'un montant de 800 francs,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