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E-4344/2006 vom 10. Juli 2008</w:t>
      </w:r>
    </w:p>
    <w:p>
      <w:r>
        <w:t>Bundesverwaltungsgericht, 2008-07-10, DE</w:t>
      </w:r>
    </w:p>
    <w:p>
      <w:r>
        <w:rPr>
          <w:b/>
        </w:rPr>
        <w:t xml:space="preserve">Quelle: </w:t>
      </w:r>
      <w:r>
        <w:t>https://mcp.opencaselaw.ch/entscheid/bvger_E-4344_2006</w:t>
      </w:r>
    </w:p>
    <w:p>
      <w:r>
        <w:t>FR: TAF E-4344/2006 du 10 juillet 2008</w:t>
      </w:r>
    </w:p>
    <w:p>
      <w:r>
        <w:t>IT: TAF E-4344/2006 del 10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Beschwerdeführenden sind durch die angefochtene Verfügung berührt, haben ein schutzwürdiges Interesse an deren Aufhebung be-ziehungsweise Änderung und sind daher zur Einreichung der Be-schwerde legitimiert (Art. 6 AsylG i.V.m. Art. 48 Abs. 1VwVG). Auf die im Übrigen form- und fristgerecht eingereichte Beschwerde ist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dass sich der Beschwerdeführer widersprochen habe; so habe er in der Empfangsstelle ausgesagt, dass man sich letztmals am (...) nach ihm erkundigt habe. Zudem mache er sinngemäss bloss eine einzige Nachforschung der von Behörden geltend, wogegen er anlässlich der Bundesanhörung behauptet habe, zweimal gesucht worden zu sein, letztmals sei dies am (...) der Fall gewesen. Weiter habe der Beschwerdeführer die angebliche Suche nach ihm an seiner Wohnadresse sowie bei seinen Schwiegereltern nicht detailliert schildern können. Insbesondere lasse sich seinen Aussagen nicht entnehmen, zu welcher Tageszeit und an welchen Wochentagen nach ihm gefragt und gesucht worden sei. Auch habe er den Ablauf der Suche wenig überzeugend geschildert; aufgrund der Umstände habe man detailliertere Aussagen erwarten können. Weiter habe der Be-schwerdeführer geltend gemacht, zwischen 2000 und 2003 einige Male von der Polizei angehalten und geschlagen worden zu sein, indessen auf Nachfrage die Häufigkeit dieser Vorfälle sowie die genauen Daten nicht zu nennen vermocht und auch den jeweiligen Ablauf wenig detailliert beschrieben. Die geltend gemachten Übergriffe würden sich ausserdem auch nicht mit seinem Verhalten vereinbaren lassen. So habe er sich im (...) ferienhalber fünfzehn Tage in Deutschland aufgehalten, wobei er damals offenbar im Besitze eines von den türkischen Behörden ausgestellten Passes gewesen sei. Weder bei der legalen Ausreise nach Deutschland noch bei seiner Rückkehr in die Türkei habe er Schwierigkeiten gehabt, und zudem habe er in Deutschland nicht um Schutz nachgesucht, sondern sei freiwillig in sein Heimatland zurückgekehrt. Auch für den Zeitraum seit Verbüssung seiner Reststrafe - 1993 bis 2003 - habe er keine glaubwürdige Verfolgung nachweisen können. Falls der Beschwerde-führer in besagtem Zeitraum glaubhaften Übergriffen durch Behörden ausgesetzt gewesen wäre, hätte er wohl kein Studium absolvieren oder seinen verschiedenen beruflichen Tätigkeiten nachgehen können. Sodann würden sich auch aus den vom Beschwerdeführer einge-reichten Beweismitteln keine glaubhaften Hinweise auf eine asyl-rechtlich relevante Verfolgung ergeben. Die von ihm vorgebrachte Verurteilung vom (...) zu achtzehn Monaten Gefängnis könne aufgrund des fehlenden sachlichen und zeitlichen Zusammenhanges nicht als Anlass seiner Ausreise im (...) betrachtet werden und sei somit aslyrechtlich nicht relevant. Auch aus der Einreichung der Strafklage bei der (...) und den beiden Datenblättern, welche über den Beschwer-deführer bestehen würden, sei ihm keine glaubwürdige Verfolgung erwachsen. Zum einen würden die Vorfälle, auf welche sich die Datenblätter beziehen, weit zurückliegen; zum anderen würden die türkischen Sicherheitsbehörden den Ausgang von Gerichtsverfahren in der Regel nicht verfolgen und ein allfälliger Gerichtsbeschluss würde der Polizei nicht automatisch mitgeteilt. Die kurze Festnahme vom (...) würde aufgrund ihrer Art und Intensität den Anforderungen an die Flüchtlingseigenschaft nicht standhalten. Weiter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in ihrem Heimatstaat herrschende politische Situati-on noch andere Gründe würden gegen die Zumutbarkeit der Rückfüh-rung in den Heimatstaat sprechen. Ausserdem sei der Vollzug der Wegweisung technisch möglich und praktisch durchführbar.</w:t>
      </w:r>
    </w:p>
    <w:p>
      <w:r>
        <w:rPr>
          <w:b/>
        </w:rPr>
        <w:t>E. 3.2</w:t>
      </w:r>
    </w:p>
    <w:p>
      <w:r>
        <w:t>In der Beschwerde wird der Argumentation der Vorinstanz Folgen-des entgegengehalten: Die ARK habe in einem Entscheid ausdrücklich festgehalten, dass bei fichierten Asylsuchenden aus der Türkei bereits aufgrund dieser Fichierung von einer begründeten Furcht vor künftiger asylrechtlich relevanter Verfolgung auszugehen sei (Entscheidungen und Mitteilungen der Schweizerischen Asylrekurskommission [EMARK] 2005 Nr. 11). Solche Asylsuchende hätten bereits bei der mit einer Wiedereinreise verbundenen Personenkontrolle damit zu rech-nen, dass die politischen Datenblätter mit dem Zusatz "unbequeme Person" entdeckt würden. Allein dieser Umstand würde erfahrungsge-mäss ein hohes Risiko von staatlichen und in ihrer Intensität asyl-rechtlich potenziell relevanten Verfolgungsmassnahmen beinhalten. In besagtem Urteil werde eine frühere Verurteilung (nach dem Militär-putsch von 1980) wegen der Mitgliedschaft bei einer politischen Grup-pierung (selbst wenn die Strafe verbüsst wurde) als massive politische Verfolgung bewertet, welche bei der Beurteilung der begründeten Furcht vor zukünftigen staatlichen Behelligungen mitzuberücksichtigen seien. Die Feststellung der Vorinstanz, wonach die türkischen Sicher-heitsbehörden den Ausgang von Gerichtsverfahren in der Regel nicht verfolgen und ein allfälliger Gerichtsbeschluss der Polizei nicht auto-matisch mitgeteilt werde, sei falsch. Dies gelte auch für die Aussage, wonach veraltete Datenblätter aus Versehen bestehen würden. Entge-en der Annahme des BFM sei der Beschwerdeführer auch im Zeitraum nach dem Jahre 1992 politisch aktiv gewesen. Er stamme aus einer kurdischen Familie, deren Angehörige durch ihre illegalen politischen Aktivitäten bekannt seien und seit Jahrzehnten vom türkischen Staat verfolgt würden. Mehrere Verwandte des Beschwerdeführers hätten deshalb die Türkei verlassen müssen und in Deutschland und in der Schweiz Asyl erhalten. Obwohl in der Türkei die "Sippenhaft" im juris-tisch-technischen Sinne nicht existiere, werde sie in Form von Reflex-verfolgung (staatliche Repressalien gegen Familienangehörige von Aktivisten) angewandt. Die Wahrscheinlichkeit, Opfer einer Reflexver-folgung zu werden, sei dabei vor allem dann gegeben, wenn nach ei-nem flüchtigen Familienmitglied gefahndet werde und die Behörde An-lass zur Vermutung habe, dass jemand mit dem Gesuchten in engem Kontakt stehe. Diese Wahrscheinlichkeit erhöhe sich, wenn ein nicht unbedeutendes politisches Engagement für illegale politische Organi-sationen hinzukomme (mit Hinweis auf EMARK 1994 Nr. 5). Beim Strafverfahren in (...) handle es sich um ein durch die türkischen Be-hörden fingiertes Verfahren, um den Beschwerdeführer zu verfolgen beziehungsweise in einem politischen Datenblatt zu registrieren. Hätte der Beschwerdeführer tatsächlich das Regierungsgebäude in (...) mit einem Molotow-Cocktail angegriffen, so hätten die Sicherheitsbehör-den ihn unverzüglich vor Gericht gestellt und verurteilt. Mit einer sol-chen falschen Anschuldigung hätten die türkischen Behörden offen-sichtlich die rechtliche Grundlage für die Registrierung des Beschwer-deführers schaffen wollen, denn nur wer fichiert sei, könne landesweit und permanent überwacht werden. Dass der Beschwerdeführer trotz seiner Fichierung arbeiten könne, stelle nicht unbedingt ein Indiz dafür dar, dass die türkischen Behörden keine ernsthafte Verfolgungsabsicht hätten. Die Anstellung bei der (...) könne ebenso gut den türkischen Sicherheitskräften als Basis für die Kontrolle des Beschwerdeführers gedient haben.</w:t>
      </w:r>
    </w:p>
    <w:p>
      <w:r>
        <w:rPr>
          <w:b/>
        </w:rPr>
        <w:t>E. 3.3</w:t>
      </w:r>
    </w:p>
    <w:p>
      <w:r>
        <w:t>In ihrer Vernehmlassung äusserte sich die Vorinstanz zu den drei vom Beschwerdeführer nachträglich zu den Akten gereichten Schrei-ben folgendermassen: Dem Inhalt der Schreiben lasse sich nicht ge-nau entnehmen, wo, wie oft und wie lange der Beschwerdeführer je-weils festgehalten worden sei. Zudem habe er die Aussteller der drei Schreiben bei seinen Einvernahmen (Empfangsstelle, Kanton, Bun-desanhörung) nicht erwähnt. Ausserdem seien die anerkannten und vom Beschwerdeführer benannten Flüchtlinge bereits längere Zeit vor dem Beschwerdeführer aus der Türkei ausgereist. Auch in diesem Blickpunkt besehen sei nicht nachvollziehbar, wie diese beiden Flücht-linge glaubhafte Aussagen über die Verfolgung des Beschwerdeführers kurz vor dessen Ausreise aus der Türkei abgeben könnten. Besagte Dokumente seien unter diesen Umständen als von der Schweiz aus nachträglich in Auftrag gegebene Gefälligkeitsschreiben ohne Beweis-wert zu qualifizieren. Weiter sei zur Annahme einer begründeten Furcht wegen Reflexverfolgung ein nicht unbedeutendes Engagement der betroffenen Person erforderlich. Dies sei jedoch vorliegend nicht gegeben. Dem vom Beschwerdeführer zitierten Urteil der ARK habe ein anderer Sachverhalt zugrunde gelegen, welcher sich nicht absolut auf das vorliegende Verfahren übertragen lasse, zudem handle es sich nicht um ein Grundsatzurteil. Die ARK habe auch diverse negative Ver-fügungen des Bundesamtes trotz Bestehen eines Datenblattes mit dem Vermerk "unbequeme Person" geschützt.</w:t>
      </w:r>
    </w:p>
    <w:p>
      <w:r>
        <w:rPr>
          <w:b/>
        </w:rPr>
        <w:t>E. 3.4</w:t>
      </w:r>
    </w:p>
    <w:p>
      <w:r>
        <w:t>In der Replik wurde entgegnet, das BFM betrachte Schreiben von Privatpersonen oder ausländischen Behörden ausnahmslos als Ge-fälligkeitsschreiben. Es sei nicht einzusehen, warum diese Personen, welche in der Schweiz und in Deutschland als Flüchtlinge lebten, für den Beschwerdeführer ein Gefälligkeitsschreiben verfassen sollten. Aus den Schreiben gehe des weiteren hervor, dass der Beschwerde-führer mit ihnen bis in das Jahr 2002 respektive 2003 in engem Kon-takt gewesen sei. Das Bundesamt habe von ihm die Namen dieser Personen nie verlangt. Für die Glaubwürdigkeit der drei Schreiben würde auch deren Ausführlichkeit sprechen. Die eingereichten Be-weismittel belegten ausserdem, dass der Beschwerdeführer und seine Geschwister politisch sehr aktiv gewesen und deshalb strafrechtlich verfolgt und verurteilt worden seien. Das BFM unterscheide des wei-teren willkürlich zwischen "neuen" und "alten Datenblättern" und im Übrigen würde in der Türkei Gesuchen von politisch aktiven Personen um Aufhebung eines Datenblattes nicht entsprochen.</w:t>
      </w:r>
    </w:p>
    <w:p>
      <w:r>
        <w:rPr>
          <w:b/>
        </w:rPr>
        <w:t>E. 4.1</w:t>
      </w:r>
    </w:p>
    <w:p>
      <w:r>
        <w:t>Die generellen Voraussetzungen, die erfüllt sein müssen, damit ein Asylsuchender in der Schweiz als Flüchtling anerkannt werden kann, sind vorstehend erwähnt. Anzufügen bleibt Folgendes: Neben der unmittelbaren Verfolgung durch den Heimat- oder Herkunftsstaat anerkennt die schweizerische Praxis auch die mittelbare Verfolgung, beispielsweise durch dem Staat nahestehende und von diesem unter-stützte Todesschwadronen (vgl. dazu EMARK 1998 Nr. 17) oder vom Staat gebilligte oder auch nur tatenlos hingenommene Verfolgung durch Dritte (EMARK 1995 Nr. 1) sowie die quasi-staatliche Verfolgung (EMARK 1995 Nr. 2) und die nicht-staatliche Verfolgung bei fehlender Schutzfähigkeit des Staates (EMARK 2006 Nr. 18). Mit letzterem Urteil hat sich die Schweiz der Schutztheorie angeschlossen, welche besagt, dass Verfolgung im flüchtlingsrechtlichen Sinn nicht von der Frage ih-res Urhebers, sondern vom Vorhandensein adäquaten Schutzes im Heimat- oder Herkunftsstaat abhängt. Mit dem Übergang von der Zu-rechenbarkeits- zur Schutztheorie erübrigt sich die Frage nach dem Urheber der Verfolgung jedoch nicht. Ist die Verfolgung nicht dem Staat oder dem Quasi-Staat zuzurechnen, ist in einem zweiten Schritt die Verfügbarkeit des staatlichen Schutzes zu prüfen, wobei die verfolgte Person den erforderlichen staatlichen Schutz auch an einem anderen Ort im Heimatland erhalten kann. Die Umschreibung der Verfolgung als ernsthafte Nachteile für die zentralsten Rechtsgüter macht weiter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in die genannten Rechtsgüter - wie Frei-heitsentzug, Schläge und sexuelle Belästigungen - die physische oder psychische Beeinträchtigung in Relation zu ihrer Dauer und Häufigkeit sowie zu den gesamten Umständen (unter Einbezug der individuellen Empfindlich-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über- nommenen Praxis grundsätzlich hohe Anforderungen an solche Ver-folgungsmassnahmen zu stellen: Sie müssen derart ernsthaft und in-tensiv sein, dass damit dem Betroffenen ein menschenwürdiges Leben verunmöglicht wird (EMARK 1996 Nr. 28). Zudem bedarf es der Aktua-lität der Verfolgungssituation. Die Furcht vor Verfolgung muss im Zeit-punkt der Flucht aus dem Verfolgerstaat bestanden und bis zum Zeit-punkt des Asylentscheides angedauert haben. Vom Bestehen der be-gründeten Furcht im Zeitpunkt der Ausreise wird in der Regel ausge-gangen, wenn zwischen einer erfolgten Verfolgungsmassnahme oder der Kenntnisnahme einer Verfolgungsgefahr und der Ausreise ein zeit-licher und sachlicher Zusammenhang besteht.</w:t>
      </w:r>
    </w:p>
    <w:p>
      <w:r>
        <w:rPr>
          <w:b/>
        </w:rPr>
        <w:t>E. 4.2</w:t>
      </w:r>
    </w:p>
    <w:p>
      <w:r>
        <w:t>Aus den vom Beschwerdeführer zu den Akten gereichten Unter-lagen geht hervor, dass er mit Urteil vom (...) des (...) wegen Verstosses gegen das Demonstrations- und Veranstaltungsgesetz zu einem (...) Gefängnis sowie einer Busse von (...) verurteilt worden ist. Wie aus der Bestätigung des (...) vom (...) ersichtlich, musste der Beschwerdeführer in der Folge aufgrund seines guten Betragens nur einen Teil der Strafe absitzen. Infolge des fehlenden zeitlichen Zusam-menhanges mit der Ausreise der Beschwerdeführer kommt diesem Vorfall vorliegend jedoch keine Asylrelevanz zu. Sodann ergibt sich aus dem Protokoll des (...) vom (...), dass der Beschwerdeführer gleichentags zwischen (...) und (...) kurzzeitig festgenommen worden ist. Auch wenn es sich hierbei um eine reine Schikane der Behörden gehandelt hätte (der Grund für die Festnahme war wohl der Besitz einer kurdischen Zeitung), so fehlt es diesem Eingriff an der Intensität, um die Flüchtlingseigenschaft des Beschwerdeführers begründen zu können. Hinsichtlich der drei von ihm mit der Rechtsmitteleingabe eingereichten Schreiben kann zwar der Argumentation der Vorinstanz insoweit nicht gefolgt werden, dass ein enger Kontakt zwischen ihm und den Verfassern aufgrund ihrer anlässlich der Befragung und den Anhörungen fehlenden Erwähnung nicht glaubhaft ist; der Beschwer-deführer hat bei der kantonalen Anhörung geschildert, dass er im Jahre 2002 einen Freund in Deutschland besucht habe. Ausserdem wurde vom Beschwerdeführer der Name dieses Freundes von den Behörden, wie in der Replik zutreffend festgestellt, nicht verlangt. Gleichwohl kann aus den obgenannten Schreiben nichts zu Gunsten des Beschwerdeführers abgeleitet werden. Wie von diesem mehrmals betont, liege der Grund für seine Ausreise aus der Türkei in erster Linie darin, dass er im (...) und im (...) entführt worden sei. Nach dem Militärdienst im (...) habe er "normal" in Istanbul gelebt, wobei bis (...) - abgesehen von kleineren Schikanen - nichts Besonderes passiert sei. Dies deckt sich auch mit den verschiedenen Erwerbstätigkeiten, welche er zwischen 1995 und dem Zeitpunkt seiner Ausreise im Sep-tember 2003 ausgeübt haben will. Er hätte zudem die Möglichkeit ge-habt, im Jahre 2002 in Deutschland ein Asylgesuch zu stellen, was er unterlassen hat. Zu den beiden Entführungen und den damit in Verbin-dung stehenden Drohungen, welche der Beschwerdeführer als Asyl-gründe geltend macht, äussern sich die Verfasser der drei Schreiben nur am Rande; ob es sich hierbei um blosse Gefälligkeitsschreiben handelt, wie es die Vorinstanz annimmt, kann daher offen bleiben. Seine Schilderungen der Entführungen erscheinen glaubhaft, die Aus-führungen decken sich einerseits im Grossen und Ganzen mit der Anzeige, welche er am (...) bei der (...) eingereicht hat, andererseits hat der Beschwerdeführer jeweils detailliert geschildert, was ihm wiederfahren sei. Des Weiteren hat seine türkische Anwältin auf Nachfrage der Schweizerischen Botschaft in (...) bestätigt, dass er sich aufgrund von Drohungen der Polizei an sie gewendet hätte. Aktenwidrig ist die Behauptung der Vorinstanz, der Beschwerdeführer habe sich hinsichtlich der Erkundigungen der Behörden - nach Ein-reichung der Anzeige - widersprochen. Anlässlich der Befragung in der Empfangsstelle sagte er nämlich aus, dass er am (...) zum zweiten Mal entführt worden sei und dass sich die Beamten am (...) zuerst bei ihm zu Hause und danach auch in (...), also bei seinem Schwiegervater, nach ihm erkundigt hätten; anlässlich der Bundesanhörung hat er an-gegeben, dass die Polizei nach der Anzeige zweimal nach ihm gefragt habe, und zwar am (...) in (...), also an seiner Adresse in Istanbul, sowie am (...) bei seinem Schwiegervater. Entgegen der Auffassung des BFM erscheint es ausserdem plausibel, dass der Beschwerde-führer zu den erwähnten Er-kundigungen keine detaillierteren Schil-derungen machen konnte. So hat er beispielsweise vom Vorfall vom (...) eigenen Angaben zufolge nur indirekt erfahren, da der Haus-meister von den nachfragenden Beamten zuerst seinem Schwager erzählt und dieser es in der Folge dem Beschwerdeführer telefonisch mitgeteilt habe. Aufgrund der kurzen Dauer der Erkundigungen ist es zudem nicht verwunderlich, dass eine entsprechende Schilderung keinen grossen Detailreichtum aufweist. Wie jedoch aus der anlässlich der Bundesanhörung gemachten Aussage des Beschwerdeführers und aus dem Suchbefehl der (...) vom (...) hervorgeht, sollen die Schul-digen - gemeint: die Entführer - intensiv gesucht werden; ausserdem hätte bis zum Verjährungsdatum am (...) der (...) von (...) alle drei Mo-nate ein Bericht zugehen sollen. Dies zeigt, dass der Staat willens war, dem Beschwerdeführer Schutz zukommen zu lassen. Da die Verfol-gung im flüchtlingsrechtlichen Sinn vom Vorhandensein adäquaten Schutzes im Heimatstaat abhängt, ist der Beschwerdeführer und somit auch seine Familie nicht auf den völkerrechtlichen Schutz der Schweiz angewiesen. Schliesslich sei darauf hingewiesen, dass er eigenen Angaben zufolge zur Zeit vom türkischen Staat trotz politischer Ver-gangenheit nicht gesucht wird und dass kein Verfahren gegen ihn hän-gig ist. So hatte er anscheinend, wie von der Vorinstanz zutreffend festgestellt, keine Probleme, die Türkei im Jahr 2002 in Richtung Deutschland zu verlassen und nach zweiwöchigem Aufenthalt bei sei-nem Freund wieder in sein Heimatland einzureisen.</w:t>
      </w:r>
    </w:p>
    <w:p>
      <w:r>
        <w:rPr>
          <w:b/>
        </w:rPr>
        <w:t>E. 4.3</w:t>
      </w:r>
    </w:p>
    <w:p>
      <w:r>
        <w:t>Aufgrund der vorstehenden Erwägungen erübrigt es sich, auf die weiteren Ausführungen in der Beschwerde und in der Replik einzugehen, weil sie am Ergebnis nichts ändern können. Zusammenfassend folgt, dass die Beschwerdeführer keine Gründe nach Art. 3 AsylG nachweisen oder glaubhaft machen konnten. Die Vorinstanz hat das Asylgesuch der Beschwerdeführer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 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die Be-schwerdeführer bei einer Rückkehr eine konkrete Gefährdung darstel-len würde (vgl. die weiterhin zutreffende Lagebeurteilung in EMARK 2004 Nr. 8). Insbesondere sind in jüngerer Zeit bezüglich der Men-schenrechtslage insgesamt und trotz immer noch vorkommenden Übergriffen Fortschritte auszumachen. Zudem leben nach Angaben des Beschwerdeführers die Eltern, eine Schwester und drei Brüder sowie die Eltern und ein Bruder der Beschwerdeführerin in der Türkei. Die Beschwerdeführenden verfügen folglich in ihrem Heimatstaat über ein intaktes soziales Beziehungsnetz und werden für die wirtschaftli-che Reintegration auf die Unterstützung ihrer Familien zählen können. Es sind somit auch keine persönlichen Gründe ersichtlich, die gegen die Rückkehr sprechen. Nach dem Gesagten erweist sich der Vollzug der Wegweisung auch als zumutbar.</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Das BFM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von Fr. 600.-- (Art. 1-3 des Reglements vom 21. Februar 2008 über die Kosten und Entschädigungen vor dem Bundesverwaltungsgericht [VGKE, SR 173.320.2]) den Beschwerdeführenden aufzuerlegen (Art. 63 Abs. 1 VwVG). Nachdem aber aufgrund der Aktenlage von ihrer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