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E-4343/2015 vom 15. August 2016</w:t>
      </w:r>
    </w:p>
    <w:p>
      <w:r>
        <w:t>Bundesverwaltungsgericht, 2016-08-15, DE</w:t>
      </w:r>
    </w:p>
    <w:p>
      <w:r>
        <w:rPr>
          <w:b/>
        </w:rPr>
        <w:t xml:space="preserve">Quelle: </w:t>
      </w:r>
      <w:r>
        <w:t>https://mcp.opencaselaw.ch/entscheid/bvger_E-4343_2015</w:t>
      </w:r>
    </w:p>
    <w:p>
      <w:r>
        <w:t>FR: TAF E-4343/2015 du 15 août 2016</w:t>
      </w:r>
    </w:p>
    <w:p>
      <w:r>
        <w:t>IT: TAF E-4343/2015 del 15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begründet ihre Verfügung im Asylpunkt im Wesentlichen mit der Unglaubhaftigkeit der Asylvorbringen des Beschwerdeführers. Dieser hält auf Beschwerdeebene vollumfänglich an seinen Asylvorbringen fest.</w:t>
      </w:r>
    </w:p>
    <w:p>
      <w:r>
        <w:rPr>
          <w:b/>
        </w:rPr>
        <w:t>E. 4.2</w:t>
      </w:r>
    </w:p>
    <w:p>
      <w:r>
        <w:t>Nach Sichtung der Akten kommt das Bundesverwaltungsgericht zum Schluss, dass die Vorinstanz die durch die Rechtsprechung konkretisierten Massstäbe zum Glaubhaftmachen von Asylvorbringen (Art. 7 AsylG) im vorliegenden Fall richtig angewendet hat. Die Ausführungen in der Beschwerdeschrift beschränken sich grösstenteils auf eine Wiederholung der in den Anhörungen geäusserten Vorbringen, ohne allerdings darzutun, inwiefern die Vorinstanz bei der Würdigung dieser Vorbringen die gesetzlichen Massstäbe verkannt oder falsch angewendet hätte. Solches ist auch nicht ersichtlich, weshalb zur Vermeidung von Wiederholungen auf die ausführlichen und zutreffenden Erwägungen in der angefochtenen Verfügung verwiesen werden kann. Ergänzend stellt das Bundesverwaltungsgericht fest, dass die Vorbringen des Beschwerdeführers auch zeitlich nicht stimmig sind. So bringt er vor, im Alter von sieben Jahren - also 2001 - die Schule begonnen, und sie nach zwei bis drei Jahren - also 2003 oder 2004 - wegen Problemen mit der Taliban wieder abgebrochen zu haben (vgl. Akten des Asylverfahrens, A17/16, F 81 und 82). Zugleich behauptet er, die Probleme mit der Taliban seien darauf zurückzuführen gewesen, dass sein Bruder bei der Polizei gearbeitet habe (vgl. Akten des Asylverfahrens, A5/14, F 7.01), was aber - wiederum nach Aussagen des Beschwerdeführers - frühestens 2007 der Fall gewesen sein kann, als sein Bruder überhaupt erst mit der Polizeiausbildung begonnen hat (vgl. Akten des Asylverfahrens, A17/16, F 39-40). Hinzu kommt, dass der Beschwerdeführer behauptet, sein Bruder sei 2009 Polizist geworden und habe dann vier Jahre - also bis 2013 - bei der Polizei gearbeitet (vgl. Akten des Asylverfahrens, A17/16, F 39-40), gleichzeitig aber bei der BzP im Jahr 2013 geltend machte, dieser sei schon seit etwa zwei Jahren - also 2011 - verschollen (vgl. Akten des Asylverfahrens, A5/14, F 7.01). Die offensichtlichen zeitlichen Divergenzen in den Ausführungen des Beschwerdeführers lassen neben den von der Vorinstanz bereits zutreffend festgestellten Ungereimtheiten ohne weiteres auf die Unglaubhaftigkeit der Asylvorbringen des Beschwerdeführers schliessen.</w:t>
      </w:r>
    </w:p>
    <w:p>
      <w:r>
        <w:rPr>
          <w:b/>
        </w:rPr>
        <w:t>E. 4.3</w:t>
      </w:r>
    </w:p>
    <w:p>
      <w:r>
        <w:t>Nach dem Gesagten erübrigt es sich, auf die Asylrelevanz der Vorbringen des Beschwerdeführers näher einzugehen. Die Vorinstanz hat die Flüchtlingseigenschaft des Beschwerdeführers zu Recht verneint und sein Asylgesuch abgewiesen.</w:t>
      </w:r>
    </w:p>
    <w:p>
      <w:r>
        <w:rPr>
          <w:b/>
        </w:rPr>
        <w:t>E. 5</w:t>
      </w:r>
    </w:p>
    <w:p>
      <w:r>
        <w:t>Lehnt das SEM das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der Beschwerdeführer sei angesichts der aktuellen Lage in Afghanistan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Afghanistan wurde durch das SEM mit der Anordnung ihrer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die Gesuch um unentgeltliche Rechtspflege ungeachtet einer allfälligen prozessualen Bedürftigkeit abzuweisen ist (Art. 65 Abs. 1 VwVG und Art. 110a Abs. 1 Bst. a AsylG).</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