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E-4340/2019 vom 9. September 2019</w:t>
      </w:r>
    </w:p>
    <w:p>
      <w:r>
        <w:t>Bundesverwaltungsgericht, 2019-09-09, DE</w:t>
      </w:r>
    </w:p>
    <w:p>
      <w:r>
        <w:rPr>
          <w:b/>
        </w:rPr>
        <w:t xml:space="preserve">Quelle: </w:t>
      </w:r>
      <w:r>
        <w:t>https://mcp.opencaselaw.ch/entscheid/bvger_E-4340_2019</w:t>
      </w:r>
    </w:p>
    <w:p>
      <w:r>
        <w:t>FR: TAF E-4340/2019 du 9 septembre 2019</w:t>
      </w:r>
    </w:p>
    <w:p>
      <w:r>
        <w:t>IT: TAF E-4340/2019 del 9 settembre 2019</w:t>
      </w:r>
    </w:p>
    <w:p>
      <w:pPr>
        <w:pStyle w:val="Heading2"/>
      </w:pPr>
      <w:r>
        <w:t>Regeste</w:t>
      </w:r>
    </w:p>
    <w:p>
      <w:r>
        <w:t>Vollzug der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3</w:t>
      </w:r>
    </w:p>
    <w:p>
      <w:r>
        <w:t>Die Beschwerde richtet sich ausschliesslich gegen die Wegweisung und den Vollzug derselben. Die Verneinung der Flüchtlingseigenschaft sowie die Ablehnung des Asylgesuchs bleiben unangefochten, womit sie in Rechtskraft erwachsen sind und nicht Gegenstand des Verfahrens bilden.</w:t>
      </w:r>
    </w:p>
    <w:p>
      <w:r>
        <w:rPr>
          <w:b/>
        </w:rPr>
        <w:t>E. 4</w:t>
      </w:r>
    </w:p>
    <w:p>
      <w:r>
        <w:t>Die Beschwerde enthält folgende formellen Rügen: Verletzung der Begründungspflicht sowie Verletzung der Pflicht zur vollständigen und richtigen Abklärung des rechtserheblichen Sachverhaltes. Diese Rügen sind vorab zu prüfen, da sie zu einer Kassation der angefochtenen Verfügung führen können.</w:t>
      </w:r>
    </w:p>
    <w:p>
      <w:r>
        <w:rPr>
          <w:b/>
        </w:rPr>
        <w:t>E. 5.1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Auf Beschwerdeebene wird hierzu gerügt, die Vorinstanz habe ihre Begründungspflicht verletzt, indem sie nicht ausgeführt habe, inwiefern vorliegend die aufschiebende Wirkung nicht sachgerecht sei.</w:t>
      </w:r>
    </w:p>
    <w:p>
      <w:r>
        <w:rPr>
          <w:b/>
        </w:rPr>
        <w:t>E. 5.3</w:t>
      </w:r>
    </w:p>
    <w:p>
      <w:r>
        <w:t>Es trifft zu, dass die Vorinstanz den Entzug der aufschiebenden Wirkung in der angefochtenen Verfügung nicht ansatzweise begründet hat, womit sie ihre Begründungspflicht verletzt hat. Das SEM ist daran zu erinnern, dass der Entzug der aufschiebenden Wirkung stets zu begründen ist. Eine Beschwerde hat im ordentlichen Rechtsmittelverfahren grundsätzlich aufschiebende Wirkung (Art. 6 AsylG i.V.m. Art. 55 Abs. 1 VwVG). Diese kann nur ausnahmsweise entzogen werden. Der Entzug setzt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Die entsprechende Rüge ist folglich begründet.</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6.2</w:t>
      </w:r>
    </w:p>
    <w:p>
      <w:r>
        <w:t>Auf Beschwerdeebene wird hierzu vorgebracht, es erschliesse sich nicht, inwiefern sich die Vorinstanz zur Frage, ob der Beschwerdeführer im Falle einer Rückkehr in eine existenzielle Notlage gerate, äussern könne, habe sie sich doch weder mit der aktuellen Lage im Herkunftsstaat noch mit der individuellen Situation des Beschwerdeführers rechtsgenüglich auseinandergesetzt. Sie beschreibe die Lage in Venezuela zwar als desolat und weise auf die schwerwiegenden sozialen und wirtschaftlichen Probleme hin. Sie habe es aber unterlassen, sich differenziert mit der aktuellen Situation des Landes auseinanderzusetzen. Exemplarisch hierfür seien die offensichtlich vor der Umbenennung des AuG ins AIG entstandenen und im Entscheid verwendeten Textbausteine, die auf Urteile aus der ersten Jahreshälfte 2018 Bezug nehmen würden und zwar auf die Demonstrationen gegen den Staatspräsidenten Maduro. Gänzlich unerwähnt geblieben seien aber die drastischen Entwicklungen, die sich seit der Wiederwahl des Staatspräsidenten Maduro im Heimatstaat des Beschwerdeführers ereignet hätten. Die Situation habe sich seit den zitierten Urteilen deutlich zugespitzt. Zudem habe es die Vorinstanz unterlassen, den medizinischen Sachverhalt rechtsgenüglich zu erstellen und sich differenziert mit der individuellen Lage des Beschwerdeführers im Falle einer Rückkehr auseinanderzusetzen.</w:t>
      </w:r>
    </w:p>
    <w:p>
      <w:r>
        <w:rPr>
          <w:b/>
        </w:rPr>
        <w:t>E. 6.3</w:t>
      </w:r>
    </w:p>
    <w:p>
      <w:r>
        <w:t>Indem die Vorinstanz offensichtlich keine Abklärungen zur aktuellen Lage vor Ort getroffen hat, hat sie den Sachverhalt unvollständig festgestellt. Die kurzen Fristen im beschleunigten Verfahren entbinden die Vorinstanz weiterhin nicht davon, den Sachverhalt vollständig und richtig abzuklären (Urteil des BVGer D-3333/2019 vom 12. Juli 2019 E. 6.5). Es ist dem Beschwerdeführer darin beizupflichten, dass sich die Vorinstanz im Zusammenhang mit der Lageanalyse vor Ort ausschliesslich auf Urteile des Bundesverwaltungsgerichts aus dem Jahr 2018 stützte, wovon das jüngste vom Juni 2018 datiert (Urteile des BVGer E-3209/2018 vom 28. Juni 2018, E-2130/2018 vom 27. April 2018 und E-1310/2018 vom 12. März 2018). Zudem trifft zu, dass die entsprechenden vorinstanzlichen Ausführungen zur Lage in Venezuela lediglich auf die damaligen Demonstrationen Bezug nehmen. Inzwischen hat sich die Lage im Heimatstaat des Beschwerdeführers jedoch wesentlich verschärft. Beispielsweise ist dem Bericht der Vereinten Nationen vom 7. Juli 2019 zur Situation der Menschenrechte in Venezuela zu entnehmen, dass die Anzahl derjeniger, die gezwungen gewesen seien Venezuela zu verlassen, seit 2018 dramatisch zugenommen habe und bis 6. Juni 2019 auf über vier Millionen gestiegen sei; hierbei seien «violations of the rights to food and health» die Hauptursachen (UN Human Rights Council [UNHRC], Report of the United Nations High Commissioner for Human Rights on the situation of Human rights in the Bolivarian Republic of Venezuela (A/HRC/41/18), 05.07.2019, Ziff. 13 und 69 f., abgerufen auf https://reliefweb.int/sites/reliefweb.int/files/resources/A_HRC_41_18.pdf, abgerufen am 03.09.2019). Im Mai 2019 beschrieb die New York Times den Kollaps der venezolanischen Wirtschaft als den schlimmsten seit mindestens 45 Jahren in einem Land, in dem kein Krieg herrsche (The New York Times, Venezuela's Collapse Is the Worst Outside of War in Decades, Economists Say, 17.05.2019, https://www.nytimes.com/2019/05/17/world/americas/venezuela-economy.html, abgerufen am 03.09.2019). Im gleichen Monat bezeichnete sie die Situation in Venezuela als «a humanitarian crisis unseen in the country's modern history» (The New York Times, Five Things You Need to Know to Understand Venezuela's Crisis, 03.05.2019, https://www.nytimes.com/2019/05/03/world/americas/venezuela-crisis-facts.html, abgerufen am 03.09.2019). Zudem soll das Land nicht mehr in der Lage sein Erkrankte adäquat zu versorgen (Deutsches Auswärtiges Amt, Venezuela: Reise- und Sicherheitshinweise, letzte Aktualisierung am 05.08.2019, https://www.auswaertiges-amt.de/de/aussenpolitik/laender/venezuela-node/venezuelasicherheit/224982, abgerufen am 03.09.2019). Vor diesem Hintergrund wäre die Vorinstanz gehalten gewesen, weitere Abklärungen - sowohl in genereller als auch individueller Hinsicht - zu treffen und diese adäquat in die Verfügung einfliessen zu lassen. Indem sie dies nicht getan hat, hat sie den Sachverhalt unvollständig festgestellt.</w:t>
      </w:r>
    </w:p>
    <w:p>
      <w:r>
        <w:rPr>
          <w:b/>
        </w:rPr>
        <w:t>E. 7</w:t>
      </w:r>
    </w:p>
    <w:p>
      <w:r>
        <w:t>Nach dem Gesagten liegt eine Verletzung des rechtlichen Gehörs in Form einer Verletzung der Begründungspflicht sowie eine mangelhafte Sachverhaltsfeststellung vor.</w:t>
      </w:r>
    </w:p>
    <w:p>
      <w:r>
        <w:rPr>
          <w:b/>
        </w:rPr>
        <w:t>E. 8</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w:t>
      </w:r>
    </w:p>
    <w:p>
      <w:r>
        <w:rPr>
          <w:b/>
        </w:rPr>
        <w:t>E. 8.1</w:t>
      </w:r>
    </w:p>
    <w:p>
      <w:r>
        <w:t>Im vorliegenden Fall ist die Sache an die Vorinstanz zurückzuweisen, zumal die Erstellung des Sachverhalts bezüglich des Vollzugs der Wegweisung weiterer Abklärungen bedarf.</w:t>
      </w:r>
    </w:p>
    <w:p>
      <w:r>
        <w:rPr>
          <w:b/>
        </w:rPr>
        <w:t>E. 9</w:t>
      </w:r>
    </w:p>
    <w:p>
      <w:r>
        <w:t>Die Beschwerde ist gutzuheissen und die vorinstanzliche Verfügung vom 15. August 2019 in den Dispositivziffern 3 bis 6 aufzuheben und in Anwendung von Art. 61 Abs. 1 in fine VwVG zur vollständigen und richtigen Sachverhaltsermittlung und Neubeurteilung im Sinne der Erwägungen an die Vorinstanz zurückzuweisen. Hiermit werden die übrigen Beschwerdeanträge gegenstandslos.</w:t>
      </w:r>
    </w:p>
    <w:p>
      <w:r>
        <w:rPr>
          <w:b/>
        </w:rPr>
        <w:t>E. 10.1</w:t>
      </w:r>
    </w:p>
    <w:p>
      <w:r>
        <w:t>Bei diesem Ausgang des Verfahrens sind keine Verfahrenskosten zu erheben (Art. 63 Abs. 1 und 2 VwVG). Damit ist das Gesuch um Gewährung der unentgeltlichen Prozessführung gegenstandslos geworden.</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