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E-4339/2016 vom 9. August 2016</w:t>
      </w:r>
    </w:p>
    <w:p>
      <w:r>
        <w:t>Bundesverwaltungsgericht, 2016-08-09, DE</w:t>
      </w:r>
    </w:p>
    <w:p>
      <w:r>
        <w:rPr>
          <w:b/>
        </w:rPr>
        <w:t xml:space="preserve">Quelle: </w:t>
      </w:r>
      <w:r>
        <w:t>https://mcp.opencaselaw.ch/entscheid/bvger_E-4339_2016</w:t>
      </w:r>
    </w:p>
    <w:p>
      <w:r>
        <w:t>FR: TAF E-4339/2016 du 9 août 2016</w:t>
      </w:r>
    </w:p>
    <w:p>
      <w:r>
        <w:t>IT: TAF E-4339/2016 del 9 agosto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hat aufschiebende Wirkung von Gesetzes wegen und die Vorinstanz hat sie nicht entzogen (Art. 55 Abs. 1 und 2 VwVG). Der Antrag betreffend aufschiebende Wirkung ist gegenstandslos.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4.1</w:t>
      </w:r>
    </w:p>
    <w:p>
      <w:r>
        <w:t>Die Vorinstanz kommt in der angefochtenen Verfügung zum Schluss, die Vorbringen des Beschwerdeführers würden den Anforderungen an die Flüchtlingseigenschaft gemäss Art. 3 AsylG nicht standhalten. Vorab seien bezüglich der Glaubhaftigkeit der Vorbringen gewisse Zweifel anzubringen. Da die Asylgründe des Beschwerdeführers jedoch nicht asylrelevant seien, könne auf eine abschliessende Prüfung, ob die Asylgründe als unglaubhaft zu erachten seien, verzichtet werden. Bezüglich des ersten geschilderten Vorfalles, bei dem ein Mädchen habe zwangsverheiratet werden sollen, bestehe im Zeitpunkt der Ausreise im Jahr 2015 offensichtlich keine Verfolgungsgefahr mehr. Bezüglich der Drohungen im Jahr 2015 durch unbekannte Personen, die der Beschwerdeführer den Taliban zuordne, sei festzustellen, dass diese wegen seiner Arbeit in der Provinz C._______ erfolgt seien, wo die Taliban eine hohe Präsenz hätten. Aufgrund der Auflösung seines Arbeitsverhältnisses dürfte der Grund für die Drohungen weggefallen sein. Auch dürfte das Verfolgungsinteresse der Taliban ausserhalb der Provinz C._______ gering sein. Deshalb und weil die Behörden in Kabul schutzwillig und schutzfähig seien, habe er bei einer Rückkehr nach Kabul nicht mit erheblicher Wahrscheinlichkeit mit einer persönlichen Verfolgung durch die Taliban oder andere Personen zu rechnen.</w:t>
      </w:r>
    </w:p>
    <w:p>
      <w:r>
        <w:rPr>
          <w:b/>
        </w:rPr>
        <w:t>E. 4.2</w:t>
      </w:r>
    </w:p>
    <w:p>
      <w:r>
        <w:t>Die Beweiswürdigung der Vorinstanz ist nicht zu beanstanden. Der Beschwerdeführer setzt sich damit nicht ansatzweise auseinander. Mit dem blossen Wiederholen des aktenkundigen Sachverhalts zeigt er nicht auf, inwiefern die angefochtene Verfügung Bundesrecht verletzen oder den Sachverhalt rechtsfehlerhaft feststellen soll. Solches lässt sich auch nicht annehmen. So hält die Vorinstanz zutreffend fest, bezüglich des Vorfalles aus dem Jahr 2013 habe im Zeitpunkt der Ausreise des Beschwerdeführers keine Verfolgungsgefahr mehr bestanden. Der Beschwerdeführer führt diesbezüglich aus, seine Organisation habe diesen Fall nicht weiter verfolgt. Zudem gibt er zu Protokoll, die Anrufe des Bruders des Mädchens seien langsam weniger geworden (SEM-Akten, A9/15 F28 f.). Neben dem fehlenden Verfolgungsinteresse fehlt es auch an einem zeitlichen und sachlichen Kausalzusammenhang zwischen dem vorgebrachten Ereignis und der Flucht des Beschwerdeführers. Auch bezüglich des zweiten vom Beschwerdeführer erwähnten Vorfalles dürfte das Verfolgungsinteresse der unbekannten Personen an ihm verflogen sein, zumal der Beschwerdeführer seine Stelle bei der Organisation B._______ gekündigt hat. Ausserdem bringt die Vorinstanz zutreffend vor, der Überfall habe sich in der Provinz C._______ ereignet, weshalb eine Verfolgung des Beschwerdeführers, der über kein herausragendes Profil verfüge, in Kabul unrealistisch sei. Somit fehlt es seinen Asylvorbringen an der Asylrelevanz.</w:t>
      </w:r>
    </w:p>
    <w:p>
      <w:r>
        <w:rPr>
          <w:b/>
        </w:rPr>
        <w:t>E. 4.3</w:t>
      </w:r>
    </w:p>
    <w:p>
      <w:r>
        <w:t>Zusammenfassend hat der Beschwerdeführer nichts vorgebracht, das geeignet wäre, die Flüchtlingseigenschaft nachzuweisen oder glaubhaft zu machen. Die Vorinstanz hat sein Asylgesuch zu Recht abgelehnt.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den Aussagen des Beschwerdeführers ergeben sich konkrete Anhaltspunkte dafür, dass er für den Fall einer Ausschaffung nach Afghanistan dort mit beachtlicher Wahrscheinlichkeit einer nach Art. 3 EMRK oder Art. 1 FoK verbotenen Strafe oder Behandlung ausgesetzt wäre. Der Vollzug der Wegweisung ist demnach zulässig.</w:t>
      </w:r>
    </w:p>
    <w:p>
      <w:r>
        <w:rPr>
          <w:b/>
        </w:rPr>
        <w:t>E. 6.3</w:t>
      </w:r>
    </w:p>
    <w:p>
      <w:r>
        <w:t>Nach Art. 83 Abs. 4 AuG kann der Vollzug für Ausländer unzumutbar sein, wenn sie im Heimat- oder Herkunftsstaat auf Grund von Situationen wie Krieg, Bürgerkrieg, allgemeiner Gewalt und medizinischer Notlage konkret gefährdet sind. Die Vorinstanz verweist in der angefochtenen Verfügung zutreffend auf BVGE 2011/7 zur allgemeinen Lage in Afghanistan sowie zur Zumutbarkeit des Wegweisungsvollzugs nach Kabul. Gemäss dem genannten Entscheid ist eine Rückkehr nach Kabul nicht generell unzumutbar, sondern kann bei begünstigenden Umständen als zumutbar erachtet werden. Die Vorinstanz hat in der angefochtenen Verfügung zutreffend begründet, weshalb im konkreten Einzelfall die Voraussetzungen für die Annahme der Zumutbarkeit im Hinblick auf eine Rückkehr nach Kabul als erfüllt zu betrachten sind. Beim Beschwerdeführer handelt es sich um einen jungen, gesunden Mann, der die letzten zehn Jahre vor seiner Ausreise in Kabul gelebt hat. Er verfügt über eine gute Schulbildung und mehrere Jahre Arbeitserfahrung. Auch wenn er auf Beschwerdeebene, jedoch ohne jegliche Substantiierung, geltend macht, seine Familie sei im Mai 2016 in den Iran geflüchtet, ist davon auszugehen, dass er in Kabul über Freunde, Bekannte und ehemalige Arbeitskollegen verfügt, welche ihm bei der Wiedereingliederung behilflich sein können. Der Vollzug der Wegweisung erweist sich als zumutbar.</w:t>
      </w:r>
    </w:p>
    <w:p>
      <w:r>
        <w:rPr>
          <w:b/>
        </w:rPr>
        <w:t>E. 6.4</w:t>
      </w:r>
    </w:p>
    <w:p>
      <w:r>
        <w:t>Es obliegt dem Beschwerdeführer, sich bei der zuständigen Vertretung seines Heimatstaats die für eine Rückkehr notwendigen Reisedokumente zu beschaffen (Art. 8 Abs. 4 AsylG und dazu BVGE 2008/34 E. 12). Der Vollzug der Wegweisung ist möglich.</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Nach dem Gesagten ergibt sich, dass die angefochtene Verfügung Bundesrecht nicht verletzt und auch sonst nicht zu beanstanden ist (Art. 106 Abs. 1 AsylG). Die Beschwerde ist abzuweisen. Damit ist der Antrag betreffend Datenweitergabe gegenstandslos geworden. Was den Antrag auf Erlass einer separaten Verfügung bei bereits erfolgter Datenweitergabe anbelangt, ist festzustellen, dass den Akten keine entsprechenden Hinweise zu entnehmen sind.</w:t>
      </w:r>
    </w:p>
    <w:p>
      <w:r>
        <w:rPr>
          <w:b/>
        </w:rPr>
        <w:t>E. 8</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Den Ersuchen um Gewährung der unentgeltlichen Rechtspflege und um Beiordnung eines amtlichen Rechtsvertreters kann nicht stattgegeben werden, weil seine Begehren als aussichtslos zu gelten haben (Art. 65 Abs. 1 VwVG). Das Gesuch um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