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E-4338/2019 vom 5. September 2019</w:t>
      </w:r>
    </w:p>
    <w:p>
      <w:r>
        <w:t>Bundesverwaltungsgericht, 2019-09-05, DE</w:t>
      </w:r>
    </w:p>
    <w:p>
      <w:r>
        <w:rPr>
          <w:b/>
        </w:rPr>
        <w:t xml:space="preserve">Quelle: </w:t>
      </w:r>
      <w:r>
        <w:t>https://mcp.opencaselaw.ch/entscheid/bvger_E-4338_2019</w:t>
      </w:r>
    </w:p>
    <w:p>
      <w:r>
        <w:t>FR: TAF E-4338/2019 du 5 septembre 2019</w:t>
      </w:r>
    </w:p>
    <w:p>
      <w:r>
        <w:t>IT: TAF E-4338/2019 del 5 settembre 2019</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einzutreten (Art. 108 Abs. 1 AsylG und Art. 52 Abs. 1 VwVG). 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Zur Begründung des ablehnenden Asylentscheids qualifizierte die Vorinstanz die Asylvorbringen des Beschwerdeführers als nicht glaubhaft und nicht asylrelevant. Seine Aussagen zu seinen politischen Beiträgen auf Facebook und der deshalb eröffneten Strafuntersuchungen seien wenig konkret ausgefallen und er habe die in Aussicht gestellten Akten nicht einreichen können. Widersprüchlich ausgefallen seien seine Ausführungen zum Tag der Razzia in seinem Zuhause sowie zu seiner Reise nach Istanbul und Europa. Er habe auffallend ausweichend, nicht substantiiert, oberflächlich und wiederholend geantwortet. Eine Vorverfolgung sowie die illegale Ausreise aus der Türkei könne ihm nicht geglaubt werden. Die geltend gemachten Nachteile zufolge seines Glaubens und seiner Ethnie würden nicht die erforderliche Intensität im Sinne von Art. 3 AsylG aufweisen. Die Situation in der Türkei habe sich für Kurden verbessert. Aufgrund seiner politischen Aktivitäten für die HDP müsse er nicht in absehbarer Zukunft mit ernsthaften Massnahmen rechnen. Die strafrechtlichen Sanktionen zufolge der Wehrdienstverweigerung würden keine asylbeachtlichen Massnahmen darstellen.</w:t>
      </w:r>
    </w:p>
    <w:p>
      <w:r>
        <w:rPr>
          <w:b/>
        </w:rPr>
        <w:t>E. 4.2</w:t>
      </w:r>
    </w:p>
    <w:p>
      <w:r>
        <w:t>Der Beschwerdeführer hält demgegenüber unter anderem fest, der vorliegende Fall sei nicht geeignet, um im beschleunigten Verfahren entschieden zu werden. Die Vorinstanz wäre zufolge des Untersuchungsgrundsatzes verpflichtet gewesen, sein Verfahren zwecks weiteren Abklärungen ins erweiterte Verfahren zu überweisen und allenfalls eine Botschaftsabklärung durchzuführen. Der Vorinstanz sei bekannt, dass die Beschaffung von Strafdokumenten in der Türkei eine gewisse Zeit dauere. Obwohl noch nicht alle wesentlichen Sachverhaltselemente abgeklärt worden seien, habe die Vorinstanz einen Asylentscheid gefällt. Damit habe sie ihre Pflicht zur vollständigen und richtigen Sachverhaltsfeststellung verletzt. Die Sache sei deshalb zur vollständigen und korrekten Abklärung des rechtserheblichen Sachverhalts sowie Neubeurteilung an die Vorinstanz zurückzuweisen.</w:t>
      </w:r>
    </w:p>
    <w:p>
      <w:r>
        <w:rPr>
          <w:b/>
        </w:rPr>
        <w:t>E. 5.1</w:t>
      </w:r>
    </w:p>
    <w:p>
      <w:r>
        <w:t>Der Beschwerdeführer rügt eine unvollständige Sachverhaltsabklärung. Dabei handelt es sich um eine formelle Rüge, welche vorab zu beurteilen ist, da sie allenfalls geeignet wäre, eine Kassation der vorinstanzlichen Verfügung zu bewirken.</w:t>
      </w:r>
    </w:p>
    <w:p>
      <w:r>
        <w:rPr>
          <w:b/>
        </w:rPr>
        <w:t>E. 5.2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6</w:t>
      </w:r>
    </w:p>
    <w:p>
      <w:r>
        <w:t>Das vorliegende Verfahren erscheint als zu komplex, als dass es im beschleunigten Verfahren hätte behandelt werden können. Zur Feststellung des Sachverhalts führte die Vorinstanz zwei Anhörungen durch, wobei die erste Anhörung von 9:00 Uhr bis um 16:30 Uhr (vgl. SEM-Akten A14 S. 1 und 25) und die zweite von 10:00 Uhr bis 14:10 Uhr (vgl. A 17 S. 1 und 15) dauerte. Die Anhörungen sowie auch die Verfügung der Vorinstanz sind sehr ausführlich ausgefallen. Dies deutet darauf hin, dass es sich nicht um einen einfachen Fall handelt. Die Wahl der Art des erstinstanzlichen Verfahrens ist zwar Sache der Vorinstanz (vgl. BVGE 2017 VI/3 E. 9.2.3). Die Behandlung komplexer Fälle in einem beschleunigten Verfahren - bei welchem es definitionsgemäss nicht notwendig ist, längere Anhörungen durchzuführen und mehrere Beweismittel zu bewerten - ist jedoch nicht angezeigt. Dies gilt insbesondere dann, wenn - wie vorliegend - eine umfangreiche Verfügung erlassen wird, gegen die innert nur sieben Arbeitstagen eine Beschwerde eingereicht werden muss (vgl. Botschaft zur Änderung des Asylgesetzes, BBI 7991, 8016 "[...] weil im beschleunigten Verfahren nur einfache Fälle behandelt werden"). Die Behandlung eines komplexen Falles im beschleunigten Verfahren birgt die Gefahr einer Verletzung der Verfahrensgarantien der asylsuchenden Person und zwar unabhängig davon, inwieweit das Prozessergebnis rechtlich liquid erscheinen könnte (vgl. Urteile des BVGer E-2965/2019 vom 28. Juni 2019 und D-2056/2019, D-2007/2019, D-2083/2019, D-2189/2019 vom 21. Mai 2019 E. 8.1). Vorliegend sieht das Bundesverwaltungsgericht - insbesondere mit Blick auf die vorgesehene Behandlungsfrist von zwanzig Tagen (vgl. Art. 109 Abs. 1 AsylG) - davon ab, eine nähere Abklärung der Beweismittel einzuholen oder der Vorinstanz Frist zur Stellungnahme anzusetzen. Der Sachverhalt ist damit jedoch nicht vollständig abgeklärt. Weitere Abklärungen drängen sich im vorliegenden Fall auf, zumal die türkischen Behörden seit dem gescheiterten Putschversuch im Juli 2016 und der darauffolgenden Verhängung des Ausnahmezustands (welcher im Juli 2018 faktisch aufgehoben wurde) rigoros gegen tatsächliche und vermeintliche Regimekritiker und Oppositionelle vorgehen, wobei zahlreiche Personen sich aufgrund ihrer Aktivitäten in den sozialen Medien mit gegen sie eingeleiteten Strafuntersuchungen und Anklagen konfrontiert sehen (vgl. Human Rights Watch, Turkey, Events of 2018, https://www.hrw.org/world-report/2019/country-chapters/turkey, abgerufen am 11. Juli 2019; vgl. dazu auch Auskunft der SFH-Länderanalyse vom 5. Dezember 2018, Türkei: Gefährdung aufgrund der Veröffentlichung von «kritischen» Informationen in sozialen Netzwerken; vgl. auch Urteil des BVGer D-3375/2018 vom 31. Juli 2019 E. 4.3.6). Insgesamt handelt es sich somit nicht mehr um einen einfachen Fall, welcher im beschleunigten Verfahren behandelt werden kann.</w:t>
      </w:r>
    </w:p>
    <w:p>
      <w:r>
        <w:rPr>
          <w:b/>
        </w:rPr>
        <w:t>E. 7</w:t>
      </w:r>
    </w:p>
    <w:p>
      <w:r>
        <w:t>Das Bundesverwaltungsgericht entscheidet in der Regel reformatorisch. Nur ausnahmsweise wird eine angefochtene Verfügung kassiert und an die Vorinstanz zurückgewiesen. Vorliegend liegt der Mangel der angefochtenen Verfügung in einer unvollständigen Abklärung des Sachverhalts. Unter den vorliegenden Umständen rechtfertigt sich gemäss Praxis des Bundesverwaltungsgerichts die Kassation der angefochtenen Verfügung. Dem Beschwerdeführer bleibt auf diese Weise der Instanzenzug erhalten, was umso wichtiger ist, als im Asylverfahren das Bundesverwaltungsgericht letztinstanzlich entscheidet (vgl. dazu BVGE 2009/53 E. 7.3, BVGE 2008/47 E. 3.3.4, BVGE 2008/14 E. 4.1).</w:t>
      </w:r>
    </w:p>
    <w:p>
      <w:r>
        <w:rPr>
          <w:b/>
        </w:rPr>
        <w:t>E. 8</w:t>
      </w:r>
    </w:p>
    <w:p>
      <w:r>
        <w:t>Nach dem Gesagten ist die Beschwerde gutzuheissen, die angefochtene Verfügung vom 16. August 2019 aufzuheben und die Sache zur vollständigen Sachverhaltsabklärung und neuen Entscheidung an die Vorinstanz zurückzuweisen.</w:t>
      </w:r>
    </w:p>
    <w:p>
      <w:r>
        <w:rPr>
          <w:b/>
        </w:rPr>
        <w:t>E. 9</w:t>
      </w:r>
    </w:p>
    <w:p>
      <w:r>
        <w:t>Bei diesem Ausgang des Verfahrens sind keine Kosten zu erheben (Art. 63 Abs. 1 und 2 VwVG). Das Gesuch um Verzicht auf die Erhebung von Verfahrenskosten nach Art. 65 Abs. 1 VwVG ist somit gegenstandslos geworden.</w:t>
      </w:r>
    </w:p>
    <w:p>
      <w:r>
        <w:rPr>
          <w:b/>
        </w:rPr>
        <w:t>E. 10</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1'250.-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