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E-4336/2019 vom 4. September 2019</w:t>
      </w:r>
    </w:p>
    <w:p>
      <w:r>
        <w:t>Bundesverwaltungsgericht, 2019-09-04, DE</w:t>
      </w:r>
    </w:p>
    <w:p>
      <w:r>
        <w:rPr>
          <w:b/>
        </w:rPr>
        <w:t xml:space="preserve">Quelle: </w:t>
      </w:r>
      <w:r>
        <w:t>https://mcp.opencaselaw.ch/entscheid/bvger_E-4336_2019</w:t>
      </w:r>
    </w:p>
    <w:p>
      <w:r>
        <w:t>FR: TAF E-4336/2019 du 4 septembre 2019</w:t>
      </w:r>
    </w:p>
    <w:p>
      <w:r>
        <w:t>IT: TAF E-4336/2019 del 4 settembre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eines zweiten Richters bzw. einer zweiten Richterin (Art. 111 Bst. e AsylG) ohne Weiterungen und mit summarischer Begründung zu behandeln (Art. 111a Abs. 1 und 2 AsylG).</w:t>
      </w:r>
    </w:p>
    <w:p>
      <w:r>
        <w:rPr>
          <w:b/>
        </w:rPr>
        <w:t>E. 4</w:t>
      </w:r>
    </w:p>
    <w:p>
      <w:r>
        <w:t>In der Beschwerde macht die Beschwerdeführerin zunächst geltend, die Vorinstanz habe ihre Eigenschaft als Opfer von Menschenhandel beim Entscheid über die Anwendung der Souveränitätsklausel nicht gewürdigt. Es liege eine Ermessensunterschreitung vor. Die Vorinstanz hätte sich bei der Ermessensausübung nach Art. 17 Abs. 1 Dublin-III-VO und Art. 29a Abs. 3 AsylV1 mit ihrer Gefährdungssituation als potentielles Opfer von Menschenhandel in Italien auseinandersetzen müssen.</w:t>
      </w:r>
    </w:p>
    <w:p>
      <w:r>
        <w:rPr>
          <w:b/>
        </w:rPr>
        <w:t>E. 5.1</w:t>
      </w:r>
    </w:p>
    <w:p>
      <w:r>
        <w:t>Die Ermessensklausel von Art. 17 Abs. 1 Dublin-III-VO besagt,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Diese Bestimmung ist nicht direkt anwendbar, sondern kann nur in Verbindung mit einer anderen Norm des nationalen oder internationalen Rechts angerufen werden (vgl. BVGE 2010/45 E. 5). Art. 17 Abs. 1 Dublin-III-VO wird im schweizerischen Recht durch Art. 29a Abs. 3 AsylV 1 umgesetzt und konkretisiert. Wie aus BVGE 2015/9 hervorgeht, verfügt die Vorinstanz bezüglich der Anwendung der Souveränitätsklausel aus humanitären Gründen gestützt auf Art. 29a Abs. 3 AsylV 1 über einen Ermessenspielraum, der es ihr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die Vorinstanz ihr Ermessen gesetzeskonform ausgeübt hat. Dies ist nur dann der Fall, wenn sie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 Folglich kommt dem Gericht im Rahmen von Art. 17 Abs. 1 Dublin-III-VO i.V.m. Art. 29a Abs. 3 AsylV 1 keine Beurteilungskompetenz in Bezug auf den Ermessensentscheid des SEM (mehr) zu, sondern es greift nur ein, wenn das Staatssekretariat das ihm eingeräumte Ermessen über- beziehungsweise unterschreitet oder missbraucht und damit Bundesrecht verletzt (vgl. hierzu auch die Urteile des BVGer E-4969/2016 vom 21. November 2016 und E-4487/2015 vom 12. Oktober 2015).</w:t>
      </w:r>
    </w:p>
    <w:p>
      <w:r>
        <w:rPr>
          <w:b/>
        </w:rPr>
        <w:t>E. 5.2</w:t>
      </w:r>
    </w:p>
    <w:p>
      <w:r>
        <w:t>Im Rahmen des vorinstanzlichen Verfahrens hat die Beschwerdeführerin sowohl medizinische ([...]) als auch psychische Gründe (Opfer von Menschenhandel) gegen eine Überstellung nach Italien angeführt. Bezüglich letzterem hat sie in substantiierter Weise geltend gemacht, vermutungsweise in Italien sei ihr der Reisepass abgenommen worden und sie sei während (...) Monaten gegen ihren Willen in einem Haus festgehalten worden, wo sie auch Hausarbeiten verrichtet habe. In der angefochtenen Verfügung hat die Vorinstanz die gesundheitlichen Probleme der Beschwerdeführerin und deren Behandelbarkeit in Italien im Zusammenhang mit der Souveränitätsklausel gewürdigt. Sie hat jedoch ausser Acht gelassen, dass die Beschwerdeführerin als potentielles Opfer von Menschenhandel identifiziert wurde. Wie vorstehend aus Erwägung 5.1 hervorgeht, muss die Vorinstanz ausführen, weshalb sie auf einen Selbsteintritt aus humanitären Gründen verzichtet. Insbesondere in Anbetracht der auch von der Vorinstanz in der angefochtenen Verfügung anerkannten Schwierigkeiten im italienischen Asylsystem drängt sich ein sorgfältiges Prüfen der Souveränitätsklausel im Zusammenhang mit Menschenhandel auf. Ein blosses Verweisen im Rahmen der Prüfung von Art. 3 Abs. 2 Dublin-III-VO auf die Ratifizierung des Übereinkommens zur Bekämpfung des Menschenhandels vom 16. Mai 2005 (sog. Europarats-Übereinkommen [EKM, SR 0.311.543]) durch Italien und die Möglichkeit, sich an die dortigen Behörden wenden zu können, greift zu kurz. Indem die Vorinstanz unter dem Gesichtspunkt der Souveränitätsklausel lediglich auf die gesundheitlichen Probleme der Beschwerdeführerin und nicht auch auf den Umstand des Menschenhandels Bezug genommen hat, ist sie ihrer Pflicht zur Ermessensausübung insoweit nicht nachgekommen (vgl. u.a. auch Urteil BVGer D-1874/2019 vom 29. April 2019 S. 10.). Es liegt demnach im Zusammenhang mit der Anwendung der Souveränitätsklausel gemäss Art. 17 Abs. 1 Dublin-III-VO i.V.m. Art. 29a Abs. 3 ASylV1 eine Ermessensunterschreitung vor.</w:t>
      </w:r>
    </w:p>
    <w:p>
      <w:r>
        <w:rPr>
          <w:b/>
        </w:rPr>
        <w:t>E. 5.3</w:t>
      </w:r>
    </w:p>
    <w:p>
      <w:r>
        <w:t>Da das Bundesverwaltungsgericht aufgrund der Kognitionsbeschränkung infolge Aufhebung von Art. 106 Abs. 1 Bst. c AsylG keinen Ermessensentscheid anstelle der Vorinstanz treffen kann und es sich bei der Ermessensunterschreitung um eine Rechtsverletzung handelt (vgl. BGE 132 V 393 E. 3.3), ist die Beschwerde gutzuheissen, die Verfügung vom 16. August 2019 aufzuheben und die Sache zur umfassenden Prüfung der Anwendung der Souveränitätsklausel aus humanitären Gründen - in Ausübung des gesetzeskonformen Ermessens - an die Vorinstanz zurückzuweisen.</w:t>
      </w:r>
    </w:p>
    <w:p>
      <w:r>
        <w:rPr>
          <w:b/>
        </w:rPr>
        <w:t>E. 6</w:t>
      </w:r>
    </w:p>
    <w:p>
      <w:r>
        <w:t>Mit diesem Urteil werden das Gesuch um Gewährung der aufschiebenden Wirkung sowie der am 28. August 2019 angeordnete Vollzugsstopp gegenstandslos.</w:t>
      </w:r>
    </w:p>
    <w:p>
      <w:r>
        <w:rPr>
          <w:b/>
        </w:rPr>
        <w:t>E. 7.1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