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E-4333/2016 vom 30. August 2016</w:t>
      </w:r>
    </w:p>
    <w:p>
      <w:r>
        <w:t>Bundesverwaltungsgericht, 2016-08-30, DE</w:t>
      </w:r>
    </w:p>
    <w:p>
      <w:r>
        <w:rPr>
          <w:b/>
        </w:rPr>
        <w:t xml:space="preserve">Quelle: </w:t>
      </w:r>
      <w:r>
        <w:t>https://mcp.opencaselaw.ch/entscheid/bvger_E-4333_2016</w:t>
      </w:r>
    </w:p>
    <w:p>
      <w:r>
        <w:t>FR: TAF E-4333/2016 du 30 août 2016</w:t>
      </w:r>
    </w:p>
    <w:p>
      <w:r>
        <w:t>IT: TAF E-4333/2016 del 30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der Beschwerdeführer (sinngemäss) die Aufhebung der angefochtenen Verfügung, die Anerkennung der Flüchtlingseigenschaft aufgrund subjektiver Nachfluchtgründe sowie die Anordnung der vorläufigen Aufnahme als Flüchtling beantragt. Diese Punkte sind von der Vorinstanz in der angefochtenen Verfügung beurteilt worden und werden vom massgeblichen Streitgegenstand umfasst. Demgegenüber ist auf das sinngemässe Entschädigungsbegehren um Ausrichtung einer finanziellen Entschädigung rückwirkend bis zum Zeitpunkt des ersten Asylgesuches wegen Verletzung von Art. 3 AsylG (Ziff. 5 der Rechtsbegehren) nicht einzutreten, da dies den massgeblichen Streitgegenstand klarerweise sprengt. Ferner ist das Bundesverwaltungsgericht nicht zuständig, um vollzugshemmende vorsorgliche Massnahmen für die Zeitdauer eines allfälligen Verfahrens vor dem EGMR anzuordnen (Ziff. 1 der Rechtsbegehren), weshalb auch auf dieses Begehren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Flüchtlingseigenschaft erfüllen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würden den Anforderungen an die Flüchtlingseigenschaft gemäss Art. 3 AsylG nicht standhalten. Diesen Erwägungen schliesst sich das Gericht vollumfänglich an.</w:t>
      </w:r>
    </w:p>
    <w:p>
      <w:r>
        <w:rPr>
          <w:b/>
        </w:rPr>
        <w:t>E. 5.2</w:t>
      </w:r>
    </w:p>
    <w:p>
      <w:r>
        <w:t>So hielt die Vorinstanz in ihrer Entscheidbegründung zutreffend fest, die neuen Vorbringen, namentlich die blosse Teilnahme an einer Kundgebung, vermöchten keine Furcht vor flüchtlingsrelevanter Verfolgung bei einer Rückkehr zu begründen. Den Akten seien auch keine konkreten Hinweise darauf zu entnehmen, dass der Beschwerdeführer sich in qualifizierter Weise betätigt oder eine spezielle Funktion innegehabt hätte. Somit sei sein Verhalten in der Schweiz insgesamt nicht geeignet, ein ernsthaftes Vorgehen der iranischen Behörden zu bewirken. Hinsichtlich der Konversion zum Christentum im Jahr 2013 verwies das SEM darauf, dass dieses Vorbringen im vorhergehenden Wiedererwägungsverfahren bereits geprüft worden sei, wobei das Bundesverwaltungsgericht die entsprechenden Erwägungen in seinem Urteil vom 14. Mai 2014 bestätigt habe. Der Beschwerdeführer habe diesbezüglich keine konkreten Angaben gemacht, die zu einer anderen Einschätzung führen könnten. Aus den Akten gehe kein besonders exponiertes religiöses Engagement des Beschwerdeführers hervor, woran auch die Tatsache, dass er eine Eingabe an die iranische Regierung unterschrieben haben solle und an einer Kundgebung teilgenommen habe, nichts ändere; davon, dass er den iranischen Behörden aufgrund seiner Konversion besonders aufgefallen wäre, sei nicht auszugehen. Die Vorbringen seien weiterhin als prinzipiell asylirrelevant zu erachten, zumal im Mehrfachgesuch diesbezüglich keine neuen wesentlichen und hinreichend begründeten Sachverhaltselemente vorgetragen worden seien. Auch bezüglich dieser Erwägungen schliesst sich das Gericht der vorinstanzlichen Einschätzung vollumfänglich an.</w:t>
      </w:r>
    </w:p>
    <w:p>
      <w:r>
        <w:rPr>
          <w:b/>
        </w:rPr>
        <w:t>E. 5.3</w:t>
      </w:r>
    </w:p>
    <w:p>
      <w:r>
        <w:t>Auf Beschwerdeebene wird im Wesentlichen der aktenkundige Sachverhalt wiederholt sowie erneut auf die Verfolgungsgefahr des Beschwerdeführers bei seiner Rückkehr in den Iran als konvertierter Christ hingewiesen. Diesbezüglich kann, um Wiederholungen zu vermeiden, auf die vor-instanzlichen Erwägungen verwiesen werden. Aus den auf Rechtmittelebene neu eingereichten Beweismitteln, bei welchen es sich um bloss allgemeine Medienberichte über die Lage der Christen im Iran handelt, vermag der Beschwerdeführer nichts zu seinen Gunsten abzuleiten. Unbehelflich bleiben schliesslich auch die Verweise auf verschiedene Entscheide des UN-Ausschusses gegen Folter (CAT), in denen der Ausschuss in fünf Verfahren von drohenden Ausschaffungen in den Iran eine Gefahr der Verletzung des Refoulementverbots feststellte, beruhen doch diese Entscheide jeweils auf spezifischen, glaubhaft aufzuzeigenden Risikofaktoren im Einzelfall und nicht auf einer generellen, sämtliche Wegweisungen in den Iran gleichermassen betreffenden Einschätzung. Ebenfalls unbehelflich bleibt schliesslich auch der Hinweis auf den Entscheid des EGMR (Grosse Kammer) i.S. F. G. gegen Schweden vom 23. März 2016 (Nr. 43611/11). Anders als in jenem Entscheid zugrunde liegenden Verfahren ist vorliegend vielmehr festzuhalten, dass das SEM die Vorbringen des Beschwerdeführers betreffend seine Konversion und seine daraus resultierenden Befürchtungen sorgfältig abgeklärt hat (vgl. oben Bst. D ff.) und im Rahmen des vorliegenden Verfahrens zu Recht zum Schluss gelangt ist, es seien keine neuen relevanten Sachverhaltselemente aufgezeigt worden.</w:t>
      </w:r>
    </w:p>
    <w:p>
      <w:r>
        <w:rPr>
          <w:b/>
        </w:rPr>
        <w:t>E. 5.4</w:t>
      </w:r>
    </w:p>
    <w:p>
      <w:r>
        <w:t>Zusammenfassend hat die Vorinstanz zu Recht die Flüchtlingseigenschaft verneint und das Mehrfachgesuch des Beschwerdeführers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eine solche Einschätzung geht denn auch nicht aus den Entscheiden des CAT oder des EGMR, auf die in der Beschwerde verwiesen wird, hervor.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Der junge und, soweit aktenkundig, gesunde Beschwerdeführer hat in seinem Heimatstaat die Mittelschule abgeschlossen und danach Arbeitserfahrung in [Arbeitstätigkeit] sowie [Arbeitstätigkeit] gesammelt. Die Situation des Beschwerdeführers an seinem Heimatort hat sich seit dem letzten rechtskräftigen Wegweisungsentscheid nicht verändert. Aufgrund der gesamten Aktenlage ist davon auszugehen, dass der Beschwerdeführer über ein hinreichendes Beziehungsnetz an seinem Heimatort verfügt und ihm deshalb die Reintegration - insbesondere mithilfe der Unterstützung durch seine Familienangehörigen - in die iranische Gesellschaft gelingen wird. Vorliegend sprechen damit auch keine individuellen Umstände gegen die Zumutbarkeit des Wegweisungsvollzuges. Der Vollzug der Wegweisung des Beschwerdeführers erweist sich somit sowohl in genereller als auch in individueller Hinsicht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Rechtspflege im Sinne von Art. 65 Abs. 1 VwVG ist - ungeachtet der finanziellen Verhältnisse des Beschwerdeführers - abzuweisen, nachdem die Beschwerde nach dem oben Gesagten als aussichtslos bezeichnet werden musste.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