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E-4329/2023 vom 16. Januar 2024</w:t>
      </w:r>
    </w:p>
    <w:p>
      <w:r>
        <w:t>Bundesverwaltungsgericht, 2024-01-16, FR</w:t>
      </w:r>
    </w:p>
    <w:p>
      <w:r>
        <w:rPr>
          <w:b/>
        </w:rPr>
        <w:t xml:space="preserve">Quelle: </w:t>
      </w:r>
      <w:r>
        <w:t>https://mcp.opencaselaw.ch/entscheid/bvger_E-4329_2023</w:t>
      </w:r>
    </w:p>
    <w:p>
      <w:r>
        <w:t>FR: TAF E-4329/2023 du 16 janvier 2024</w:t>
      </w:r>
    </w:p>
    <w:p>
      <w:r>
        <w:t>IT: TAF E-4329/2023 del 16 gennaio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w:t>
      </w:r>
    </w:p>
    <w:p>
      <w:r>
        <w:rPr>
          <w:b/>
        </w:rPr>
        <w:t>E. 1.2</w:t>
      </w:r>
    </w:p>
    <w:p>
      <w:r>
        <w:t>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 Dans cette matière, le Tribunal ne statue pas de manière définitive, une voie de droit étant ouverte au Tribunal fédéral (art. 82 ss LTF ; arrêt du TF 1C_452/2021 du 23 novembre 2022 consid. 1). Il doit être souligné que la nouvelle LPD, entrée en vigueur le 1er septembre 2023, ne s'applique pas aux recours pendants contre les décisions de première instance rendues avant cette date, comme en l'espèce. Dans ces affaires, l'ancien droit s'applique (art. 70 LPD).</w:t>
      </w:r>
    </w:p>
    <w:p>
      <w:r>
        <w:rPr>
          <w:b/>
        </w:rPr>
        <w:t>E. 1.3</w:t>
      </w:r>
    </w:p>
    <w:p>
      <w:r>
        <w:t>Les litiges concernant la rectification des données personnelles du recourant contenues dans SYMIC sont en principe instruits et tranchés distinctement de ceux en matière d'asile. En l'espèce, il convient toutefois de rendre un seul jugement, compte tenu de l'état de fait commun aux deux procédures et de leur issue, cela même si le Tribunal est conscient que les buts et les conséquences de celles-ci sont différents et que, notamment, les règles de preuve en matière de protection des données sont distinctes de celles en matière d'asile (cf. notamment arrêt du Tribunal E-6255/2023 du 18 décembre 2023, spéc. consid. 2 et 3).</w:t>
      </w:r>
    </w:p>
    <w:p>
      <w:r>
        <w:rPr>
          <w:b/>
        </w:rPr>
        <w:t>E. 1.4</w:t>
      </w:r>
    </w:p>
    <w:p>
      <w:r>
        <w:t>L'intéressé a qualité pour recourir (cf. art. 48 al. 1 PA). Présenté dans la forme (cf. art. 52 al. 1 PA) et les délais (cf. art. 108 al. 3 LAsi [en matière d'asile] et 50 al. 1 PA [en matière de rectification des données personnelles contenues dans SYMIC])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son recours, l'intéressé reproche en substance au SEM d'avoir violé son devoir d'instruction et de motivation en n'examinant pas concrètement l'authenticité des documents soumis, en n'effectuant pas de recherches pour savoir comment les autorités italiennes avaient établi la date de naissance enregistrée par leurs soins et en appréciant de manière subjective le rapport d'expertise médico-légale malgré le caractère selon lui vraisemblable de ses déclarations.</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2.2.3</w:t>
      </w:r>
    </w:p>
    <w:p>
      <w:r>
        <w:t>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Tribunal D-6664/2019 du 6 février 2020 consid. 3.2).</w:t>
      </w:r>
    </w:p>
    <w:p>
      <w:r>
        <w:rPr>
          <w:b/>
        </w:rPr>
        <w:t>E. 2.3</w:t>
      </w:r>
    </w:p>
    <w:p>
      <w:r>
        <w:t>En l'occurrence, aucun manquement de la part du SEM ne saurait être retenu quant à la détermination de l'âge de l'intéressé. En effet, l'autorité inférieure ne s'est pas contentée des déclarations du recourant ou de la date de naissance enregistrée par les autorités italiennes pour dénier sa minorité, dès lors que, suite à l'arrêt du Tribunal du 1er mars 2023, il a mis en oeuvre une expertise médico-légale en tant que mesure d'instruction complémentaire, avant de procéder à une appréciation globale des éléments au dossier. L'on ne saurait dès lors retenir un quelconque « défaut d'instruction » de sa part à ce stade. On remarquera également que, informé lors de son audition de l'éventualité d'une telle expertise médico-légale, le recourant avait déclaré qu'un tel procédé ne lui posait pas de problème (cf. audition RMNA, pt. 8.01 p. 13), de sorte que son allégation tendant à dépeindre l'examen en question comme une « humiliation et une exclusion d'une extrême violence » (p. 22 du mémoire de recours) peut être écartée. La motivation présentée par le SEM est par ailleurs suffisamment claire et élaborée pour comprendre les motifs qui l'ont guidé et sur lesquels il a fondé sa décision, respectivement pour que l'on puisse se rendre compte de la portée de celle-ci et l'attaquer en connaissance de cause. De plus, il a été donné à l'intéressé la possibilité de s'exprimer sur la question de son âge et de l'expertise médico-légale, ce qu'il a fait les 19 août 2022 et 7 juillet 2023. Les arguments du recourant dans la section « griefs formels » de son mémoire, que ce soit au sujet des résultats de l'examen précité ou de ses allégations, se rapportent en réalité essentiellement à l'appréciation - selon lui subjective - qu'en fait le SEM. Ces développements ne relèvent donc pas de la forme, mais du fond, et seront examinés ci-après.</w:t>
      </w:r>
    </w:p>
    <w:p>
      <w:r>
        <w:rPr>
          <w:b/>
        </w:rPr>
        <w:t>E. 3</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dit, le recourant alléguant être mineur, il y a lieu de résoudre, à titre liminaire, la question de son âge, celle-ci étant déterminante tant sur le plan procédural qu'en ce qui concerne la détermination de l'Etat responsable du traitement de la demande d'asile, au regard en particulier de l'art. 8 du règlement Dublin III (cf. consid. 6). Cette question est également celle à résoudre dans la procédure de rectification des données personnelles du recourant dans SYMIC, procédure qui sera traitée préalablement ci-dessous.</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w:t>
      </w:r>
    </w:p>
    <w:p>
      <w:r>
        <w:rPr>
          <w:b/>
        </w:rPr>
        <w:t>E. 4.2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4.3</w:t>
      </w:r>
    </w:p>
    <w:p>
      <w:r>
        <w:t>L'art. 25 al. 2 LPD dispose par ailleurs que si ni l'exactitude, ni l'inexactitude d'une donnée personnelle ne peut être apportée, l'organe fédéral doit ajouter à la donnée la mention de son caractère litigieux.</w:t>
      </w:r>
    </w:p>
    <w:p>
      <w:r>
        <w:rPr>
          <w:b/>
        </w:rPr>
        <w:t>E. 5.1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d'analyses médico-légales visant à déterminer son âge. Il lui importe avant tout, dans le cadre de la procédure d'asile, de déceler si l'intéressé est mineur ou non. Lorsque la minorité est alléguée mais ne peut pas être prouvée par pièces, il convient de procéder à une appréciation globale de tous les éléments au dossier plaidant en sa faveur et en sa défaveur, étant précisé qu'il incombe au requérant de la rendre vraisemblable - autrement dit hautement probable - au sens de l'art. 7 al. 1 et 2 LAsi, sous peine d'en supporter les conséquences juridiques (cf. ATAF 2009/54 consid. 4.1 et réf. cit. ; arrêt du TAF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La personne concernée peut contester l'appréciation effectuée par le SEM quant à son âge dans le cadre d'un recours contre la décision finale. Si cette appréciation se révèle erronée, la procédure doit alors être reprise et menée dans des conditions idoines.</w:t>
      </w:r>
    </w:p>
    <w:p>
      <w:r>
        <w:rPr>
          <w:b/>
        </w:rPr>
        <w:t>E. 5.2</w:t>
      </w:r>
    </w:p>
    <w:p>
      <w:r>
        <w:t>En l'espèce, comme le Tribunal l'a retenu (cf. arrêt E-5603/2022 etE-5929/2022 du 1er mars précité), l'intéressé n'a produit lors du dépôt de sa demande d'asile aucun document d'identité susceptible de prouver ou du moins rendre vraisemblable son âge allégué et donc sa minorité. Les autres éléments au dossier ne permettaient pas non plus d'en apporter la démonstration. Le Tribunal ne pouvait ainsi se prononcer définitivement sur l'âge du recourant en raison de l'état incomplet du dossier du SEM, ce dernier ayant cependant encore comme possibilité d'ordonner une expertise médico-légale.</w:t>
      </w:r>
    </w:p>
    <w:p>
      <w:r>
        <w:rPr>
          <w:b/>
        </w:rPr>
        <w:t>E. 5.3</w:t>
      </w:r>
    </w:p>
    <w:p>
      <w:r>
        <w:t>A l'aune des résultats obtenus, le Tribunal estime qu'il ne peut que s'en tenir à l'avis des experts, lesquels ont procédé à une analyse croisée des données recueillies, les faisant parvenir à des conclusions claires. Reposant sur un examen clinique et un examen radiologique (une radiographie standard de la dentition et de la main gauche, ainsi qu'un CT-scanner des articulations sterno-claviculaires), l'expertise exclut la date de naissance alléguée par le recourant, soit le (...) et indique qu'il n'est pas possible que celui-ci soit âgé de moins de 18 ans. Elle écarte tout aussi clairement un âge inférieur à 19 ans au moment de l'examen, en précisant que ces conclusions sont obtenues « sur la base de l'ensemble des données à [la disposition des experts] et en tenant compte du processus biologique, qui peut varier d'un individu à l'autre, et du fait que l'expertisé ne provient pas de la même population que les échantillons de référence utilisés ». L'âge moyen est situé entre 20 et 23 ans.</w:t>
      </w:r>
    </w:p>
    <w:p>
      <w:r>
        <w:rPr>
          <w:b/>
        </w:rPr>
        <w:t>E. 5.4</w:t>
      </w:r>
    </w:p>
    <w:p>
      <w:r>
        <w:t>Le recourant conteste les conclusions du rapport relatif à son âge. Contrairement à ce qu'il affirme, l'on ne saurait retenir que l'examen des articulations sterno-claviculaires, qui apparaît déterminant en l'espèce, n'est pas fiable, dès lors que l'expert ne le signale pas et que des résultats concluants ont manifestement pu être obtenus en dépit de la variante anatomique constatée à droite (cf. rapport radiologique du 13 juin 2023, p. 2). Il apparaît également que si l'âge minimum était de 19 ans le 9 juin 2023 (date de l'expertise), il était au minimum de 18 ans au moment du dépôt de sa demande d'asile, une année plus tôt. Si on analyse de manière plus approfondie le consid. 4.2 de l'ATAF 2018 VI/3, on doit constater que la radiographie standard de la main gauche et le CT-scanner des articulations sterno-claviculaires excluent la minorité de l'intéressé. L'examen des articulations démontre en particulier un âge moyen de 23,6 ans, avec une déviation standard de 2,6 ans (stade 3c). L'âge minimum pour ce stade est de 19 ans. Les résultats de l'examen de la dentition sont moins clairs. L'expert ne fait qu'indiquer une probabilité, modérée, que le recourant ait dépassé sa 18ème année ; il mentionne un âge moyen de 18,3 ans, mais n'indique pas d'âge minimum. Toutefois, dans sa conclusion, il se réfère à la méthode de Mincer et coll. (1993) qui, dans l'analyse qui précède, parvient à un âge de 18,3 +/- 1,93 ans. Il existerait ainsi un chevauchement des tranches d'âge établies par les deux types d'examen (osseux et dentaire), constituant un indice fort de la majorité de l'intéressé. Cependant, il doit là encore être tenu compte qu'une année complète s'est écoulée entre le dépôt de la demande d'asile et l'expertise, de sorte que la conclusion relative à l'examen de la dentition effectuée en juin 2023 doit être relativisée. En retenant l'hypothèse la plus favorable au recourant, il convient de retenir qu'en définitive, l'expertise menée est tout de même un indice, même s'il est plus faible, en faveur de sa majorité. A cette conclusion, il faut ajouter que l'expertise, indépendamment de toute considération concernant la majorité ou la minorité du recourant, permet en revanche d'exclure la date invoquée par celui-ci. Les documents qu'il a produits pour en attester révèlent donc une date de naissance erronée. Autrement dit, l'intéressé a tenu des propos contraires à la réalité en ce qui concerne sa date de naissance. Comme déjà exposé, ses autres déclarations ne suffisent pas à rendre vraisemblable cette date.</w:t>
      </w:r>
    </w:p>
    <w:p>
      <w:r>
        <w:rPr>
          <w:b/>
        </w:rPr>
        <w:t>E. 5.5</w:t>
      </w:r>
    </w:p>
    <w:p>
      <w:r>
        <w:t>Il ressort des considérations qui précèdent que les éléments plaidant en défaveur de la date de naissance (cf. également supra, let. P) et, partant, de la minorité alléguée par le recourant l'emportent sur les seules affirmations de ce dernier, et ce même en prenant en compte les documents - à faible force probante - qu'il a produits.</w:t>
      </w:r>
    </w:p>
    <w:p>
      <w:r>
        <w:rPr>
          <w:b/>
        </w:rPr>
        <w:t>E. 5.6</w:t>
      </w:r>
    </w:p>
    <w:p>
      <w:r>
        <w:t>Partant, il ne se justifie pas de procéder à la rectification demandée, le recourant n'étant pas parvenu à démontrer l'exactitude, ni la haute vraisemblance de la modification requise. Le caractère litigieux de la date de naissance est déjà mentionné dans le système SYMIC (art. 25 al. 2 LPD).</w:t>
      </w:r>
    </w:p>
    <w:p>
      <w:r>
        <w:rPr>
          <w:b/>
        </w:rPr>
        <w:t>E. 5.7</w:t>
      </w:r>
    </w:p>
    <w:p>
      <w:r>
        <w:t>Il s'ensuit que le recours doit être rejeté en tant qu'il porte sur le refus de procéder aux modifications requises dans SYMIC (points 7 et 8 de la décision querellée).</w:t>
      </w:r>
    </w:p>
    <w:p>
      <w:r>
        <w:rPr>
          <w:b/>
        </w:rPr>
        <w:t>E. 6.1</w:t>
      </w:r>
    </w:p>
    <w:p>
      <w:r>
        <w:t>L'intéressé n'étant pas mineur au moment du dépôt de sa demande d'asile en Suisse, l'art. 8 par. 4 RD III, qui prévoit que l'Etat membre dans lequel un mineur non accompagné a déposé sa demande de protection est celui qui est responsable de son examen, ne s'applique pas.</w:t>
      </w:r>
    </w:p>
    <w:p>
      <w:r>
        <w:rPr>
          <w:b/>
        </w:rPr>
        <w:t>E. 6.2</w:t>
      </w:r>
    </w:p>
    <w:p>
      <w:r>
        <w:t>Cela dit, comme exposé précédemment, les investigations entreprises par le SEM ont révélé, après consultation de la base de données « Eurodac », que le recourant a été interpellé en Italie, le 9 juin 2022, et que ses empreintes digitales y ont été relevées le même jour. Les autorités italiennes n'ont pas répondu à la demande de prise en charge, fondée sur l'art. 13 par. 1 RD III, dans le délai légal prévu par l'art. 22 par. 1 RD III, étant précisé que la communication de forclusion leur ayant été adressée le 18 octobre 2022 n'a suscité aucune réaction de leur part et que le document rejetant la prise en charge et adressé au SEM le 19 décembre 2022 (cf. supra, let. K) n'est par conséquent pas valable. L'Italie est donc l'Etat compétent pour examiner la demande d'asile.</w:t>
      </w:r>
    </w:p>
    <w:p>
      <w:r>
        <w:rPr>
          <w:b/>
        </w:rPr>
        <w:t>E. 6.3</w:t>
      </w:r>
    </w:p>
    <w:p>
      <w:r>
        <w:t>Dans son recours, hormis la question de sa majorité, l'intéressé ne discute pas la décision du SEM. Il ne conteste en particulier pas la compétence de l'Italie sous l'angle de l'art. 13 par. 1 RD III ni ne revient sur les autres conditions permettant son transfert dans ce pays. Pour sa part, le Tribunal ne peut que constater que l'examen du SEM est conforme au droit.</w:t>
      </w:r>
    </w:p>
    <w:p>
      <w:r>
        <w:rPr>
          <w:b/>
        </w:rPr>
        <w:t>E. 6.4</w:t>
      </w:r>
    </w:p>
    <w:p>
      <w:r>
        <w:t>De jurisprudence constante et régulièrement actualisée, il n'y a en effet pas de sérieuses raisons de penser qu'il existe en Italie des défaillances systémiques au sens de l'art. 3 par. 2 RD III, nonobstant certaines carences dans la procédure d'asile et le dispositif d'accueil et d'assistance sociale dans cet Etat (cf. notamment l'arrêt de référence du TAF D-4235/2021 du 19 avril 2022 consid. 10.2 ainsi que les arrêts F-3965/2023 du 24 juillet 2023 consid. 6.1 et E-809/2023 du 27 avril 2023 consid. 6.3).</w:t>
      </w:r>
    </w:p>
    <w:p>
      <w:r>
        <w:rPr>
          <w:b/>
        </w:rPr>
        <w:t>E. 6.5</w:t>
      </w:r>
    </w:p>
    <w:p>
      <w:r>
        <w:t>Le SEM ne se devait pas non plus de faire application de la clause discrétionnaire prévue à l'art. 17 par. 1 RD III (clause de souveraineté). L'intéressé n'a en particulier pas fourni d'élément concret susceptible d'établir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établi que ses conditions d'existence dans ce pays revêtiraient un tel degré de pénibilité et de gravité qu'elles seraient constitutives d'un traitement contraire à l'art. 3 CEDH (RS 0.101) ou encore à l'art. 3 Conv. torture (RS 0.105). Il n'a pas démontré ses allégations quant aux prétendus accueil et comportement inadéquats des autorités italiennes à son égard (cf. supra, let. D et S). Force est en outre de constater, à l'instar du SEM, que le recourant n'a pas déposé de demande d'asile en Italie et que ce dernier pays n'a donc pas eu l'occasion de mettre en place les conditions d'accueil prévues par la directive n 2013/33/UE du Parlement européen et du Conseil du 26 juin 2013 établissant des normes pour l'accueil des personnes demandant la protection internationale (ci-après : directive Accueil). Il lui incombera donc de déposer une telle demande auprès des autorités italiennes. En tout état de cause, s'il devait, après son transfert en Italie,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Sur un autre plan, outre qu'ils ne sont en rien étayés, les problèmes de santé (démangeaisons, allergies, furoncles occasionnels et boutons douloureux, cauchemars) mentionnés par l'intéressé lors de son audition ne sont pas de nature à remettre en cause son transfert vers l'Italie. Ce pays, qui dispose en principe d'une infrastructure médicale suffisante, est quoi qu'il en soit lié par la directive Accueil précitée,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(art. 19 par. 1 et 2 de ladite directive). Une fois encore, l'intéressé ne revient pas sur ce point dans son recours.</w:t>
      </w:r>
    </w:p>
    <w:p>
      <w:r>
        <w:rPr>
          <w:b/>
        </w:rPr>
        <w:t>E. 6.6</w:t>
      </w:r>
    </w:p>
    <w:p>
      <w:r>
        <w:t>Le SEM a par ailleurs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6.7</w:t>
      </w:r>
    </w:p>
    <w:p>
      <w:r>
        <w:t>En conclusion, c'est à bon droit que l'autorité inférieure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6.8</w:t>
      </w:r>
    </w:p>
    <w:p>
      <w:r>
        <w:t>Par surabondance, il sera rappelé que le règlement Dublin III ne confère en effet pas aux demandeurs d'asile le droit de choisir l'Etat membre offrant, à leur avis, les meilleures conditions d'accueil comme Etat responsable de l'examen de leur demande d'asile (cf. ATAF 2017 VI/7 consid. 6.11 ; 2017 VI/5 consid. 8.2.1 ; 2010/45 consid. 8.3).</w:t>
      </w:r>
    </w:p>
    <w:p>
      <w:r>
        <w:rPr>
          <w:b/>
        </w:rPr>
        <w:t>E. 6.9</w:t>
      </w:r>
    </w:p>
    <w:p>
      <w:r>
        <w:t>Il doit être enfin précisé que l'annonce faite par le gouvernement italien en décembre 2022 de suspendre temporairement les transferts Dublin vers son territoire ne permet pas d'amener à une conclusion différente. En effet, l'hypothèse d'une éventuelle violation par l'Italie de son obligation de coopération en vue du transfert du recourant n'est pas décisive pour l'issue de la cause (cf. art. 8 du règlement [CE] n° 1560/2003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222/3 du 5.9.2003]).</w:t>
      </w:r>
    </w:p>
    <w:p>
      <w:r>
        <w:rPr>
          <w:b/>
        </w:rPr>
        <w:t>E. 7</w:t>
      </w:r>
    </w:p>
    <w:p>
      <w:r>
        <w:t>Au vu de ce qui précède, c'est à juste titre que le SEM n'est pas entré en matière sur la demande d'asile de l'intéressé, en application de l'art. 31a al. 1 let. b LAsi, et a prononcé son transfert de la Suisse vers l'Italie, en application de l'art. 44 LAsi. Par conséquent, le recours doit être rejeté.</w:t>
      </w:r>
    </w:p>
    <w:p>
      <w:r>
        <w:rPr>
          <w:b/>
        </w:rPr>
        <w:t>E. 8</w:t>
      </w:r>
    </w:p>
    <w:p>
      <w:r>
        <w:t>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