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E-4320/2014 vom 4. September 2014</w:t>
      </w:r>
    </w:p>
    <w:p>
      <w:r>
        <w:t>Bundesverwaltungsgericht, 2014-09-04, DE</w:t>
      </w:r>
    </w:p>
    <w:p>
      <w:r>
        <w:rPr>
          <w:b/>
        </w:rPr>
        <w:t xml:space="preserve">Quelle: </w:t>
      </w:r>
      <w:r>
        <w:t>https://mcp.opencaselaw.ch/entscheid/bvger_E-4320_2014</w:t>
      </w:r>
    </w:p>
    <w:p>
      <w:r>
        <w:t>FR: TAF E-4320/2014 du 4 septembre 2014</w:t>
      </w:r>
    </w:p>
    <w:p>
      <w:r>
        <w:t>IT: TAF E-4320/2014 del 4 settembre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hat den Massstab des Glaubhaftmachens nach Art. 7 AsylG auf den vorliegenden Fall korrekt angewendet. Sie hat in der angefochtenen Verfügung einlässlich begründet, weshalb die Schilderungen der Beschwerdeführerin unsubstantiiert und schemenhaft ausfielen, soweit greifbar der allgemeinen Erfahrung widersprechen und damit insgesamt als unglaubhaft zu beurteilen sind. Die Beschwerdeführerin zeigt in der Rechtsmitteleingabe nicht auf, inwiefern die angefochtene Verfügung Bundesrecht verletzen oder auf einer fehlerhaften Sachverhaltsfeststellung beruhen soll. Solches ist auch nicht zu erkennen.</w:t>
      </w:r>
    </w:p>
    <w:p>
      <w:r>
        <w:rPr>
          <w:b/>
        </w:rPr>
        <w:t>E. 4.2</w:t>
      </w:r>
    </w:p>
    <w:p>
      <w:r>
        <w:t>Die Schilderungen der Beschwerdeführerin geben in der Tat Anlass zu erheblichen Zweifeln am geltend gemachten Sachverhalt. Was sie in der Rechtsmitteleingabe gegen die Erwägungen der Vorinstanz vorbringt, ist nicht geeignet, diese umzustossen. Es kann deshalb uneingeschränkt auf die vorinstanzlichen Überlegungen verwiesen werden. Namentlich folgende Punkte sind hervorzuheben: Die Beschwerdeführerin war tatsächlich nicht in der Lage, eine spezifische Beschreibung ihres Ehemannes zu liefern. Ihre Angaben gehen über triviale Allgemeinheiten - die auf jeden älteren, grösseren Mann von mittelbrauner Hautfarbe ("Er ist nicht dunkel und nicht hell." BFM-Akte A 22/6 S. 6) zutreffen - nicht hinaus. Auch auf konkrete Nachfrage hin hat die Beschwerdeführerin keinerlei besondere äusserliche, geschweige denn charakterliche Merkmale ihres Ehemannes widergeben können, obschon sie mit ihm seit gut vier Jahren verheiratet war, wie die Vorinstanz korrekt feststellt. Weiter ist der Vorinstanz darin Recht zu geben, dass die Schilderungen der Hochzeitszeremonie sowie überhaupt des alltäglichen ehelichen Tagesablaufes keinerlei Realkennzeichen aufweisen, vielmehr derart abstrakt und substanzlos bleiben, dass sie ohne Weiteres auch von einer Person ohne entsprechende Erfahrungen stammen können. Auch wird der von der Beschwerdeführerin ständig wiederholte Hass auf den Ehemann an keiner Stelle der Anhörung plausibel, zumal sie von ihm, ihren eigenen Angaben zufolge, nie schlecht behandelt worden sei. Vor diesem Hintergrund erscheint auch die erst in der Rechtsmitteleingabe erhobene Behauptung, sie sei vom Ehemann gegen ihren Willen regelmässig zum Beischlaf gezwungen und geschwängert worden, nachgeschoben. Es wäre zu erwarten, dass ein solcher Umstand im Zusammenhang mit dem oft wiederholten Hass auf den Ehemann bereits in der Anhörung genannt worden wäre. Es ist überhaupt unverständlich, weshalb die Beschwerdeführerin anlässlich der Flucht ihre eigenen beiden Kinder zurücklässt, obwohl sie an ihnen nach eigenem Bekunden sehr hängt (BFM-Akte A 22/6 S. 11 f.). Ferner ist mit der Vorinstanz effektiv schwer nachvollziehbar, weshalb der Ehemann - im Wissen um die erzwungene Gemeinschaft - der Beschwerdeführerin zwar verboten haben soll, unbeaufsichtigt das Haus zu verlassen und mit anderen Leuten in Kontakt zu treten, während seiner längeren Geschäftsreisen aber keine Massnahmen getroffen habe, eine mögliche Flucht zu verhindern. Schliesslich ist ebenfalls nicht einsichtig, weshalb die Ärztin ihre Fluchthilfe erst im Jahr 2012 habe realisieren können, nachdem sie seit der Heirat der Beschwerdeführerin in ihrem Haus verkehrt und über ihre missliche Situation von Anfang an Bescheid gewusst habe. Der dagegen in der Rechtsmitteleingabe erhobene Einwand, die Ärztin hätte von Seiten ihres einflussreichen Mannes für die Fluchthilfe zugunsten der Beschwerdeführerin ernsthafte Konsequenzen befürchten müssen, ergibt in diesem Zusammenhang keinen Sinn - hätten ihr die Konsequenzen doch unabhängig vom Zeitpunkt ihrer Fluchthilfe gedroht.</w:t>
      </w:r>
    </w:p>
    <w:p>
      <w:r>
        <w:rPr>
          <w:b/>
        </w:rPr>
        <w:t>E. 4.3</w:t>
      </w:r>
    </w:p>
    <w:p>
      <w:r>
        <w:t>Zusammenfassend ist somit festzustellen, dass es der Beschwerdeführerin nicht gelungen ist, die vorinstanzlichen Zweifel an der Glaubhaftigkeit ihrer Vorbringen auszuräumen, weshalb die Vorinstanz das Asylgesuch zu Recht abgelehnt hat.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Da ihre Schilderungen nicht glaubhaft sind, konnte die Beschwerdeführerin keine asylrelevanten Vorbringen geltend machen. Entgegen ihren Ausführungen ergeben sich nach den erfolgten Erwägungen und aufgrund der Akten keine konkrete Anhaltspunkte dafür, dass sie für den Fall einer Ausschaffung nach Niger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Niger herrscht keine Situation allgemeiner Gewalt, weshalb von der Zumutbarkeit des Wegweisungsvollzugs dorthin ausgegangen werden kann. Zudem sind den Akten keine Anhaltspunkte für eine individuelle Unzumutbarkeit zu entnehmen. Da der Beschwerdeführerin die Zwangsverheiratung durch die Eltern - wie aufgezeigt - nicht geglaubt werden kann, ist, wie von der Vorinstanz zutreffend festgestellt, nicht davon auszugehen, dass die Beschwerdeführerin zu ihren Familienangehörigen in Niger keinen Kontakt mehr hat. Weiter verfügt sie über eine Ausbildung und spricht neben Haussa auch Französisch, weshalb eine erfolgreiche Reintegration erwartet werden darf. Der Vollzug der Wegweisung der Beschwerdeführerin ist demnach zumutbar.</w:t>
      </w:r>
    </w:p>
    <w:p>
      <w:r>
        <w:rPr>
          <w:b/>
        </w:rPr>
        <w:t>E. 6.4</w:t>
      </w:r>
    </w:p>
    <w:p>
      <w:r>
        <w:t>Der Vollzug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6.5</w:t>
      </w:r>
    </w:p>
    <w:p>
      <w:r>
        <w:t>Die Vorinstanz hat den Vollzug demnach zu Recht als zulässig, zumutbar und möglich bezeichnet. Damit fällt die Anordnung einer vorläufigen Aufnahme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der Beschwerdeführerin aufzuerlegen (Art. 63 Abs. 1 und 5 VwVG) und auf insgesamt Fr. 600.- festzusetzen (Art. 1 - 3 des Reglements vom 21. Februar 2008 über die Kosten und Entschädigungen vor dem Bundesverwaltungsgericht [VGKE, SR 173.320.2]). Die Beschwerdeführerin macht Bedürftigkeit geltend und ersucht um Gewährung der unentgeltlichen Prozessführung sowie um unentgeltliche Verbeiständung. Diesen Ersuchen kann nicht stattgegeben werden, weil ihre Begehren als aussichtlos zu gelten haben (Art. 65 VwVG; Art. 110a Abs. 1 Bst. a AsylG). Damit ist auch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