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E-4318/2010 vom 20. November 2012</w:t>
      </w:r>
    </w:p>
    <w:p>
      <w:r>
        <w:t>Bundesverwaltungsgericht, 2012-11-20, FR</w:t>
      </w:r>
    </w:p>
    <w:p>
      <w:r>
        <w:rPr>
          <w:b/>
        </w:rPr>
        <w:t xml:space="preserve">Quelle: </w:t>
      </w:r>
      <w:r>
        <w:t>https://mcp.opencaselaw.ch/entscheid/bvger_E-4318_2010</w:t>
      </w:r>
    </w:p>
    <w:p>
      <w:r>
        <w:t>FR: TAF E-4318/2010 du 20 novembre 2012</w:t>
      </w:r>
    </w:p>
    <w:p>
      <w:r>
        <w:t>IT: TAF E-4318/2010 del 20 novembre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L'intéressé a qualité pour recourir. Présenté dans la forme et le délai prescrits par la loi, le recours est recevable (art. 48 al. 1 et 52 al. 1 PA et art. 108 al. 1 LAsi).</w:t>
      </w:r>
    </w:p>
    <w:p>
      <w:r>
        <w:rPr>
          <w:b/>
        </w:rPr>
        <w:t>E. 2</w:t>
      </w:r>
    </w:p>
    <w:p>
      <w:r>
        <w:t>A titre liminaire, il convient de se prononcer sur le grief de la violation du droit d'être entendu de l'intéressé invoqué à l'appui de son mémoire de recours, et selon lequel il n'aurait pas eu accès aux pièces déterminantes de son dossier. In casu, force est de constater que ce grief est infondé puisqu'ainsi que cela ressort de la détermination de l'ODM (cf. lettre F ci-dessus), et non contredite par la mandataire de l'intéressé, le courrier contenant lesdites pièces a été délivré le 28 mai 2010, soit avant le dépôt du recours, interjeté le 14 juin 2010.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L'intéressé a réitéré à l'appui de son recours avoir fui son pays parce qu'il serait menacé par un policier, appartenant à une famille influente.</w:t>
      </w:r>
    </w:p>
    <w:p>
      <w:r>
        <w:rPr>
          <w:b/>
        </w:rPr>
        <w:t>E. 4.2</w:t>
      </w:r>
    </w:p>
    <w:p>
      <w:r>
        <w:t>En l'espèce, bien que l'intéressé prétend être recherché dans son pays d'origine, force est de constater que ses allégations se limitent à de simples affirmations, nullement étayées. De plus, il convient de préciser que les recherches auxquelles serait exposé l'intéressé, indépendamment de leur vraisemblance, ne sauraient être considérées comme des préjudices au sens de l'art. 3 LAsi, dès lors qu'elles n'ont pas pour origine un des motifs exhaustivement énumérés à cette disposition, à savoir la race, la religion, la nationalité, l'appartenance à un groupe social déterminé ou des opinions politiques. En outre, si on se réfère aux déclarations de l'intéressé, ce policier aurait exercé son autorité de façon abusive, n'ayant pas apprécié l'attitude de l'intéressé lors d'un contrôle de sécurité.</w:t>
      </w:r>
    </w:p>
    <w:p>
      <w:r>
        <w:rPr>
          <w:b/>
        </w:rPr>
        <w:t>E. 4.3</w:t>
      </w:r>
    </w:p>
    <w:p>
      <w:r>
        <w:t>De surcroît, l'intéressé n'a pas réussi à rendre vraisemblable qu'il ne pourrait pas faire cesser une telle menace en saisissant la justice. Le Tribunal a en effet relevé dans sa jurisprudence que les autorités chargées de la sécurité et de la justice dans les trois provinces kurdes de Dohuk, Erbil et Suleymanieh sont, en principe, capables d'assurer la protection des habitants et qu'elles ont également la volonté de le faire (cf. ATAF 2008/4). Cela vaut d'autant lorsque, comme le recourant, les justiciables sont Kurdes et n'ont aucun engagement politique.</w:t>
      </w:r>
    </w:p>
    <w:p>
      <w:r>
        <w:rPr>
          <w:b/>
        </w:rPr>
        <w:t>E. 4.4</w:t>
      </w:r>
    </w:p>
    <w:p>
      <w:r>
        <w:t>Partant, les motifs de fuite allégués par le recourant ne sont pas déterminants pour la reconnaissance de la qualité de réfugié.</w:t>
      </w:r>
    </w:p>
    <w:p>
      <w:r>
        <w:rPr>
          <w:b/>
        </w:rPr>
        <w:t>E. 4.5</w:t>
      </w:r>
    </w:p>
    <w:p>
      <w:r>
        <w:t>Il s'ensuit que le recours, en tant qu'il porte sur la reconnaissance de la qualité de réfugié et l'octroi de l'asile, doit être rejeté et la décision entreprise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6.3</w:t>
      </w:r>
    </w:p>
    <w:p>
      <w:r>
        <w:t>En l'espèce, l'exécution du renvoi ne contrevient pas au principe de non-refoulement de l'art. 5 LAsi. Comme exposé plus haut (cf. supra consid. 3), le recourant n'a pas rendu vraisemblable qu'en cas de retour en Irak, il serait exposé à de sérieux préjudices au sens de l'art. 3 LAsi.</w:t>
      </w:r>
    </w:p>
    <w:p>
      <w:r>
        <w:rPr>
          <w:b/>
        </w:rPr>
        <w:t>E. 6.4</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6.5</w:t>
      </w:r>
    </w:p>
    <w:p>
      <w:r>
        <w:t>En l'occurrence, l'intéressé n'a pas rendu hautement probable qu'il serait personnellement visé, en cas de retour en Irak, par des mesures incompatibles avec l'art. 3 CEDH ou d'autres dispositions contraignantes de droit international (cf. supra consid. 3). En effet, ses propos, relatifs aux risques qu'il encourrait en cas de mise à l'exécution par le policier de ses menaces, ne sont pas vraisemblables pour les motifs retenus au considérant 4 ci-dessus. En outre, il n'a pas rendu vraisemblable que - s'il devait réellement craindre de subir des mauvais traitements de la part de cette personne - il ne pourrait pas pallier à cet état de fait en s'adressant aux autorités de son pays d'origine.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2009/52 consid. 10.1, ATAF 2008/34 consid. 11.2.2 et ATAF 2007/10 consid. 5.1).</w:t>
      </w:r>
    </w:p>
    <w:p>
      <w:r>
        <w:rPr>
          <w:b/>
        </w:rPr>
        <w:t>E. 7.2</w:t>
      </w:r>
    </w:p>
    <w:p>
      <w:r>
        <w:t>Dans un arrêt toujours d'actualité, le Tribunal a considéré que l'exécution du renvoi dans les trois provinces kurdes du nord de l'Irak (Dohuk, Erbil et Suleimaniya) était raisonnablement exigible, à condition que l'intéressé soit originaire de l'une de ces provinces ou qu'il y ait vécu pendant une longue période, et qu'il y dispose d'un réseau social (famille, parenté ou amis) ou de liens avec les partis dominants (ATAF 2008/5 consid. 7.5 p. 75 ss).</w:t>
      </w:r>
    </w:p>
    <w:p>
      <w:r>
        <w:rPr>
          <w:b/>
        </w:rPr>
        <w:t>E. 7.3</w:t>
      </w:r>
    </w:p>
    <w:p>
      <w:r>
        <w:t>S'agissant de la situation personnelle de l'intéressé, le Tribunal observe qu'il appartient à la communauté kurde musulmane et qu'il provient de la province de Dohuk, où il a vécu jusqu'à son départ. En outre, il est jeune, sans charge de famille et n'a pas allégué de problèmes de santé particuliers, susceptibles de constituer un obstacle à l'exécution de son renvoi. Enfin, l'intéressé dispose sur place d'un réseau familial et assurément d'un réseau social sur lesquels il pourra compter à son retour.</w:t>
      </w:r>
    </w:p>
    <w:p>
      <w:r>
        <w:rPr>
          <w:b/>
        </w:rPr>
        <w:t>E. 7.4</w:t>
      </w:r>
    </w:p>
    <w:p>
      <w:r>
        <w:t>Dans ces conditions, l'exécution du renvoi du recourant en Irak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8.3</w:t>
      </w:r>
    </w:p>
    <w:p>
      <w:r>
        <w:t>Ainsi, l'exécution du renvoi ne se heurte pas à des obstacles insurmontables d'ordre technique et s'avère également possible au sens de l'art. 83 al. 2 LEtr.</w:t>
      </w:r>
    </w:p>
    <w:p>
      <w:r>
        <w:rPr>
          <w:b/>
        </w:rPr>
        <w:t>E. 9</w:t>
      </w:r>
    </w:p>
    <w:p>
      <w:r>
        <w:t>Il s'ensuit que le recours, en tant qu'il conteste la décision de renvoi et l'exécution de cette mesure, doit être également rejeté.</w:t>
      </w:r>
    </w:p>
    <w:p>
      <w:r>
        <w:rPr>
          <w:b/>
        </w:rPr>
        <w:t>E. 10</w:t>
      </w:r>
    </w:p>
    <w:p>
      <w:r>
        <w:t>Le recours s'avérant manifestement infondé, il est rejeté dans une procédure à juge unique, avec l'approbation d'un second juge (art. 111 let. e LAsi).</w:t>
      </w:r>
    </w:p>
    <w:p>
      <w:r>
        <w:rPr>
          <w:b/>
        </w:rPr>
        <w:t>E. 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La demande d'octroi de l'assistance judiciaire partielle doit en effet être rejetée, dès lors que les conclusions du recours étaient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