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E-4315/2011 vom 29. August 2011</w:t>
      </w:r>
    </w:p>
    <w:p>
      <w:r>
        <w:t>Bundesverwaltungsgericht, 2011-08-29, DE</w:t>
      </w:r>
    </w:p>
    <w:p>
      <w:r>
        <w:rPr>
          <w:b/>
        </w:rPr>
        <w:t xml:space="preserve">Quelle: </w:t>
      </w:r>
      <w:r>
        <w:t>https://mcp.opencaselaw.ch/entscheid/bvger_E-4315_2011</w:t>
      </w:r>
    </w:p>
    <w:p>
      <w:r>
        <w:t>FR: TAF E-4315/2011 du 29 août 2011</w:t>
      </w:r>
    </w:p>
    <w:p>
      <w:r>
        <w:t>IT: TAF E-4315/2011 del 29 agosto 2011</w:t>
      </w:r>
    </w:p>
    <w:p>
      <w:pPr>
        <w:pStyle w:val="Heading2"/>
      </w:pPr>
      <w:r>
        <w:t>Regeste</w:t>
      </w:r>
    </w:p>
    <w:p>
      <w:r>
        <w:t>Ausländerrecht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Gerichts. Eine das Sachgebiet betreffende Ausnahme im Sinne von Art. 32 VGG liegt nicht vor. Das Bundesverwaltungsgericht ist daher zu-ständig für die Beurteilung der vorliegenden Beschwerde und entscheidet auch über Beschwerden gegen Verfügungen des BFM betreffend den Kantonswechsel einer vorläufig aufgenommenen Person endgültig (Art. 112 Abs. 1 des Bundesgesetzes vom 16. Dezember 2005 über die Ausländerinnen und Ausländer [AuG, SR 142.20] i.V.m. Art. 83 Bst. c Ziff. 3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112 Abs. 1 AuG i.V.m. Art. 48 Abs. 1 sowie Art. 50 und Art. 52 VwVG). Auf die Beschwerde ist einzutreten.</w:t>
      </w:r>
    </w:p>
    <w:p>
      <w:r>
        <w:rPr>
          <w:b/>
        </w:rPr>
        <w:t>E. 1.3</w:t>
      </w:r>
    </w:p>
    <w:p>
      <w:r>
        <w:t>Der vorliegende Entscheid vor Ablauf der Beschwerdefrist rechtfertigt sich, weil die Rechtmitteleingabe als abschliessend erachtet wird und der Sachverhalt vollständig erstellt ist (Entscheidungen und Mitteilungen der Schweizerischen Asylrekurskommission [EMARK] 1997 Nr. 13).</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Gestützt auf Art. 57 Abs. 1 VwVG (e contrario) wurde vorliegend auf einen Schriftenwechsel verzichtet, da sich die Beschwerde, wie in den nachfolgenden Erwägungen dargelegt wird, als aussichtlos und damit als von vornherein unbegründet im Sinne der erwähnten Bestimmung erweist.</w:t>
      </w:r>
    </w:p>
    <w:p>
      <w:r>
        <w:rPr>
          <w:b/>
        </w:rPr>
        <w:t>E. 4</w:t>
      </w:r>
    </w:p>
    <w:p>
      <w:r>
        <w:t>Im vorliegenden Fall begründete die Beschwerdeführerin ihr Gesuch um Kantonswechsel explizit und ihre Beschwerde sinngemäss mit dem Grundsatz der Einheit der Familie; sie verwies auf Art. 85 Abs. 4 AuG und brachte vor, ein Einstieg in die Arbeitswelt würde ihr nur mit der Hilfe ihrer Brüder gelingen und sie möchte in der gemeinsamen Wohnung ihrer Geschwister in C._______ leben. Auf die weitere Begründung (Teilzeitstelle bei [...], "Curriculum vitae ist leer" und Senkung der Lebensunterhaltungskosten) wird in der Folge - wie nachfolgend aufgezeigt - nicht einzugehen sein.</w:t>
      </w:r>
    </w:p>
    <w:p>
      <w:r>
        <w:rPr>
          <w:b/>
        </w:rPr>
        <w:t>E. 5.1</w:t>
      </w:r>
    </w:p>
    <w:p>
      <w:r>
        <w:t>Der Kantonswechsel wird vom BFM nur bei Zustimmung beider Kantone, bei Anspruch auf Einheit der Familie oder bei schwerwiegender Gefährdung der asylsuchenden Person oder anderer Personen verfügt (Art. 21 der Verordnung vom 11. August 1999 über den Vollzug der Weg- und Ausweisung von ausländischen Personen [VVWA, SR 142.281] i.V.m. Art. 22 Abs. 2 der Asylverordnung 1 vom 11. August 1999 über Verfahrensfragen [AsylV 1, SR 142.311]).</w:t>
      </w:r>
    </w:p>
    <w:p>
      <w:r>
        <w:rPr>
          <w:b/>
        </w:rPr>
        <w:t>E. 5.2</w:t>
      </w:r>
    </w:p>
    <w:p>
      <w:r>
        <w:t>Gemäss Art. 85 Abs. 3 AuG ist das Gesuch um Kantonswechsel von vorläufig aufgenommenen Personen beim BFM einzureichen, wobei dieses nach Anhörung der betroffenen Kantone grundsätzlich endgültig entscheidet. Vorbehalten bleibt gemäss Art. 85 Abs. 4 AuG die Anfechtung dieses Entscheides mit der Begründung, er verletze den Grundsatz der Einheit der Familie.</w:t>
      </w:r>
    </w:p>
    <w:p>
      <w:r>
        <w:rPr>
          <w:b/>
        </w:rPr>
        <w:t>E. 5.3</w:t>
      </w:r>
    </w:p>
    <w:p>
      <w:r>
        <w:t>Die Bestimmungen von Art. 85 Abs. 4 AuG und Art. 27 Abs. 3 AsylG,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zu berücksichtigen. Der von Art. 27 Abs. 3 AsylG erfasste Begriff der Familieneinheit orientiert sich am grundsätzlich im Asylrecht geltenden Familienbegriff,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In BVGE 2008/47 vom 10. November 2008 kam das Bundesverwaltungsgericht im Ergebnis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EMRK beziehungsweise Art. 51 Abs. 2 AsylG voraussetzt.</w:t>
      </w:r>
    </w:p>
    <w:p>
      <w:r>
        <w:rPr>
          <w:b/>
        </w:rPr>
        <w:t>E. 6.1</w:t>
      </w:r>
    </w:p>
    <w:p>
      <w:r>
        <w:t>Die Beschwerdeführerin bringt vor, durch die Ablehnung ihres Kantonswechselgesuches werde der Grundsatz der Einheit der Familie verletzt, weil sie nicht im gleichen Kanton wie ihre Geschwister Wohnsitz nehmen könne und dadurch ein isoliertes Leben führe.</w:t>
      </w:r>
    </w:p>
    <w:p>
      <w:r>
        <w:rPr>
          <w:b/>
        </w:rPr>
        <w:t>E. 6.2</w:t>
      </w:r>
    </w:p>
    <w:p>
      <w:r>
        <w:t>Geschwister sind aber der vorstehenden Erwägung zufolge (E. 5.3.) nicht der Kernfamilie zuzurechnen. Somit bleibt zu prüfen, ob vorliegend der weitere Familienbegriff im Sinne von Art. 51 Abs. 2 AsylG i.V.m. Art. 38 AsylV 1 zur Anwendung gelangt. Voraussetzung dafür wäre ein bestehendes und besonderes Abhängigkeitsverhältnis zwischen der Beschwerdeführerin und ihren Geschwistern (E. 5.3). Ein solches kann vorliegend - und wie das BFM zu Recht festgestellt hat - aber nicht bejaht werden. Die von der Beschwerdeführerin geltend gemachte Hilfe bei der Stellensuche kann auch durch eine Behörde oder durch Dritte und nicht einzig durch deren Geschwister erbracht werden. Dasselbe gilt für die Unterstützung auf dem Wege zur finanziellen Unabhängigkeit. Weder den Gesuchen noch der Beschwerde sind Anhaltspunkte zu entnehmen, dass das Engagement der Geschwister über eine finanzielle oder moralische Unterstützung hinausgehen würde. Der Beschwerdeführerin ist es auch ohne Kantonswechsel möglich, per Telefon oder in Form von gelegentlichen Besuchen Kontakt mit ihren Geschwistern zu pflegen und nötigenfalls deren Hilfe in Anspruch zu nehmen.</w:t>
      </w:r>
    </w:p>
    <w:p>
      <w:r>
        <w:rPr>
          <w:b/>
        </w:rPr>
        <w:t>E. 6.3</w:t>
      </w:r>
    </w:p>
    <w:p>
      <w:r>
        <w:t>Wie erwähnt kann der Entscheid über ein Kantonswechselgesuch gemäss Art. 85 Abs. 4 AuG nur mit der Begründung angefochten werden, dieser verletze den Grundsatz der Einheit der Familie. Da die weiteren Vorbringen der Beschwerdeführerin schwergewichtign wirtschaftlicher Natur sind und - wie dargelegt - kein besonderes Abhängigkeitsverhältnis zu begründen vermögen, ist darauf nicht einzugehen. Im Übrigen kann an dieser Stelle zur Vermeidung von Wiederholungen auf die zutreffenden Erwägungen in der angefochtenen Verfügung verwiesen werden.</w:t>
      </w:r>
    </w:p>
    <w:p>
      <w:r>
        <w:rPr>
          <w:b/>
        </w:rPr>
        <w:t>E. 7</w:t>
      </w:r>
    </w:p>
    <w:p>
      <w:r>
        <w:t>Nach dem Gesagten ist festzustellen, dass die Verweigerung des Kantonswechsels der Beschwerdeführerin den Grundsatz der Einheit der Familie im Sinne von Art. 85 Abs. 4 AuG nicht verletzt, das Kantonswechselgesuch vom BFM zu Recht abgewiesen wurde und die Beschwerde demnach abzuweisen ist.</w:t>
      </w:r>
    </w:p>
    <w:p>
      <w:r>
        <w:rPr>
          <w:b/>
        </w:rPr>
        <w:t>E. 8</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