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E-4312/2011 vom 9. Dezember 2011</w:t>
      </w:r>
    </w:p>
    <w:p>
      <w:r>
        <w:t>Bundesverwaltungsgericht, 2011-12-09, FR</w:t>
      </w:r>
    </w:p>
    <w:p>
      <w:r>
        <w:rPr>
          <w:b/>
        </w:rPr>
        <w:t xml:space="preserve">Quelle: </w:t>
      </w:r>
      <w:r>
        <w:t>https://mcp.opencaselaw.ch/entscheid/bvger_E-4312_2011</w:t>
      </w:r>
    </w:p>
    <w:p>
      <w:r>
        <w:t>FR: TAF E-4312/2011 du 9 décembre 2011</w:t>
      </w:r>
    </w:p>
    <w:p>
      <w:r>
        <w:t>IT: TAF E-4312/2011 del 9 dicembre 2011</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consid. 2 p. 103-104).</w:t>
      </w:r>
    </w:p>
    <w:p>
      <w:r>
        <w:rPr>
          <w:b/>
        </w:rPr>
        <w:t>E. 3.1</w:t>
      </w:r>
    </w:p>
    <w:p>
      <w:r>
        <w:t>La question qui se pose est donc de savoir si les faits soulevés par l'intéressé sont nouveaux, et dans l'affirmative s'ils sont déterminants, soit susceptibles de modifier l'état de fait retenu par l'autorité dans sa première décision dans une mesure suffisante pour mener, après appréciation juridique de la nouvelle situation, à une décision différente.</w:t>
      </w:r>
    </w:p>
    <w:p>
      <w:r>
        <w:rPr>
          <w:b/>
        </w:rPr>
        <w:t>E. 3.2</w:t>
      </w:r>
    </w:p>
    <w:p>
      <w:r>
        <w:t>S'agissant des troubles psychiques que présente le recourant, l'examen des divers rapports médicaux déposés ne fait pas apparaître de changements survenus après la fin de la procédure ordinaire ; en effet, le diagnostic posé n'a pas évolué, à tel point que les différents rapports ont tous été rédigés dans des termes analogues, si ce n'est identiques. En revanche, les atteintes digestives touchant l'intéressé sont en effet nouvelles et ne présentent pas d'antécédents, leur première mention figurant dans le rapport du 27 juillet 2010. Le fait que le traitement ait commencé en mai 2010, soit avant la clôture de la procédure ordinaire, pourrait certes être retenu au détriment du recourant, qui aurait pu faire état plus tôt de ces faits inédits ; son état de santé a toutefois connu ultérieurement une évolution qui enlève une partie de sa portée à ce constat. Dans tous les cas, eu égard à ce qui suit, cette question peut toutefois rester indécise.</w:t>
      </w:r>
    </w:p>
    <w:p>
      <w:r>
        <w:rPr>
          <w:b/>
        </w:rPr>
        <w:t>E. 3.3</w:t>
      </w:r>
    </w:p>
    <w:p>
      <w:r>
        <w:t>En effet, comme on va le voir, les problèmes digestifs que l'intéressé présente ne sont pas déterminants.</w:t>
      </w:r>
    </w:p>
    <w:p>
      <w:r>
        <w:rPr>
          <w:b/>
        </w:rPr>
        <w:t>E. 3.3.1</w:t>
      </w:r>
    </w:p>
    <w:p>
      <w:r>
        <w:t>Le recourant a d'abord fait valoir, dans son acte de recours, que l'exécution de son renvoi serait illicite. Toutefois, comme l'a rappelé la Cour européenne des droits de l'homme (arrêt "N. contre Royaume-Uni", du 27 mai 2008, publié sous n° 26565/05), s'agissant de personnes touchées dans leur santé, le renvoi forcé n'est susceptible de constituer une violation de l'art. 3 de la convention du 4 novembre 1950 de sauvegarde des droits de l'homme et des libertés fondamentales (CEDH, RS 0.101) que si l'intéressé se trouve dans un stade de sa maladie avancé et terminal, au point que sa mort apparaît comme une perspective proche. Cette incompatibilité suppose donc que la personne en cause soit victime d'une affection grave, pleinement développée, qui fait apparaître un prochain décès comme une hypothèse très solide ; il faut encore que cette personne ne puisse probablement avoir accès aux soins nécessaires, même à un prix élevé, et ne puisse compter sur l'aide de ses proches. Le recourant ne se trouve pas dans une telle situation. Les troubles dont il souffre n'ont pas de caractère aigu, et sa vie n'est manifestement pas en danger de manière imminente ; l'exécution du renvoi n'est donc aucunement illicite.</w:t>
      </w:r>
    </w:p>
    <w:p>
      <w:r>
        <w:rPr>
          <w:b/>
        </w:rPr>
        <w:t>E. 3.3.2</w:t>
      </w:r>
    </w:p>
    <w:p>
      <w:r>
        <w:t>Quant au caractère non raisonnablement exigible de cette exécution, le Tribunal rappelle qu'il ne peut être retenu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not. JICRA 2003 n° 24 consid. 5b p. 157s.). En revanche, il n'existe pas un droit général d'accès en Suisse à des mesures médicales visant à recouvrer la santé ou à la maintenir, au simple motif que l'infrastructure hospitalière et le savoir-faire médical dans le pays d'origine ou de destination de l'intéressé n'atteindrait pas le standard élevé qu'on trouve en Suisse (JICRA 1993 n° 38 p. 274s.). Dans le cas particulier, il s'avère que le recourant n'a jamais souffert de la maladie de Crohn, mais a été touché par un syndrome du ligament arqué, lequel a été corrigé avec succès par la chirurgie ; selon le rapport médical le plus récent, du 3 août 2011, la persistance des douleurs demandait de nouvelles investigations. L'intéressé n'ayant toutefois pas saisi l'occasion de répliquer à la réponse de l'ODM, le Tribunal s'estime fondé à admettre que son état ne s'est pas aggravé depuis lors, et que les recherches entreprises n'ont pas révélé d'autres affections. Il apparaît donc que l'état du recourant, qui a perdu tout caractère aigu, ne suppose plus qu'un suivi régulier, mais aucun traitement spécifique ; ce suivi peut lui être dispensé dans son pays d'origine, ainsi que le relèvent d'ailleurs les rapports médicaux des 27 juillet 2010 et 30 mars 2011. L'exécution de son renvoi est donc raisonnablement exigible.</w:t>
      </w:r>
    </w:p>
    <w:p>
      <w:r>
        <w:rPr>
          <w:b/>
        </w:rPr>
        <w:t>E. 3.4</w:t>
      </w:r>
    </w:p>
    <w:p>
      <w:r>
        <w:t>Il s'ensuit que le recours, en tant qu'il conteste le refus de la demande de réexamen, doit être rejeté.</w:t>
      </w:r>
    </w:p>
    <w:p>
      <w:r>
        <w:rPr>
          <w:b/>
        </w:rPr>
        <w:t>E. 4.1</w:t>
      </w:r>
    </w:p>
    <w:p>
      <w:r>
        <w:t>En l'espèce, le Tribunal a d'abord considéré le recours comme manifestement dénué de chances de succès ; il n'a accordé la dispense de l'avance de frais que sur la base du rapport médical du 3 août 2011, lequel laissait ouverte la possibilité d'autres atteintes à la santé du recourant, qu'il y avait lieu d'investiguer. Toutefois, comme déjà mentionné, l'intéressé n'a pas fait usage de son droit de réplique, ce dont il faut conclure qu'aucun trouble nouveau n'a été découvert. Dans ces conditions, le Tribunal ne voit pas de motifs de donner suite à la requête d'assistance judiciaire partielle.</w:t>
      </w:r>
    </w:p>
    <w:p>
      <w:r>
        <w:rPr>
          <w:b/>
        </w:rPr>
        <w:t>E. 4.2</w:t>
      </w:r>
    </w:p>
    <w:p>
      <w:r>
        <w:t>Dès lors, 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