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E-4309/2012 vom 23. August 2012</w:t>
      </w:r>
    </w:p>
    <w:p>
      <w:r>
        <w:t>Bundesverwaltungsgericht, 2012-08-23, DE</w:t>
      </w:r>
    </w:p>
    <w:p>
      <w:r>
        <w:rPr>
          <w:b/>
        </w:rPr>
        <w:t xml:space="preserve">Quelle: </w:t>
      </w:r>
      <w:r>
        <w:t>https://mcp.opencaselaw.ch/entscheid/bvger_E-4309_2012</w:t>
      </w:r>
    </w:p>
    <w:p>
      <w:r>
        <w:t>FR: TAF E-4309/2012 du 23 août 2012</w:t>
      </w:r>
    </w:p>
    <w:p>
      <w:r>
        <w:t>IT: TAF E-4309/2012 del 23 agosto 2012</w:t>
      </w:r>
    </w:p>
    <w:p>
      <w:pPr>
        <w:pStyle w:val="Heading2"/>
      </w:pPr>
      <w:r>
        <w:t>Regeste</w:t>
      </w:r>
    </w:p>
    <w:p>
      <w:r>
        <w:t>Nichteintreten auf Asylgesuch (erneutes Asylverfahren Schweiz)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2 AsylG)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2.3</w:t>
      </w:r>
    </w:p>
    <w:p>
      <w:r>
        <w:t>Der Beschwerdeführer beantragt die Ansetzung einer Frist von drei Wochen zur Beibringung weiterer Beweismittel. Dem Antrag kann nicht entsprochen werden. Der Fall weist weder einen aussergewöhnliche Umfang noch eine besondere Schwierigkeit auf, die eine Nachfristansetzung zur Beschwerdeergänzung rechtfertigen würde (Art. 53 VwVG).</w:t>
      </w:r>
    </w:p>
    <w:p>
      <w:r>
        <w:rPr>
          <w:b/>
        </w:rPr>
        <w:t>E. 3.1</w:t>
      </w:r>
    </w:p>
    <w:p>
      <w:r>
        <w:t>Gemäss 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3.2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Da die Vorinstanz die Frage der Wegweisung und des Vollzugs materiell geprüft hat, kommt dem Bundesverwaltungsgericht diesbezüglich volle Kognition zu.</w:t>
      </w:r>
    </w:p>
    <w:p>
      <w:r>
        <w:rPr>
          <w:b/>
        </w:rPr>
        <w:t>E. 3.3</w:t>
      </w:r>
    </w:p>
    <w:p>
      <w:r>
        <w:t>Die Vorinstanz hat in ihrer Verfügung vom 2. August 2012 einlässlich begründet, weshalb die neu eingereichten Beweismittel nicht geeignet sind, die Flüchtlingseigenschaft zu begründen oder für die Gewährung vorübergehenden Schutzes relevant wären. Der Beschwerdeführer zeigt nicht auf, inwiefern die angefochtene Verfügung Bundesrecht verletzt oder auf einer fehlerhaften Sachverhaltsfeststellung beruhen soll. Solches ist auch nicht ersichtlich. Der Beschwerdeführer ist eigenen Angaben zufolge bereits seit 5 Jahren im Besitz des (...) ausgestellten Haftbefehls und hätte schon viel früher ein neues Asylgesuch einreichen können. Seine Begründung, er sei davon ausgegangen, dass er nur alle fünf Jahre ein Asylgesuch einreichen dürfe, kann nicht überzeugen, zumal er das zweite Asylgesuch erst einreichte, nachdem er verhaftet wurde und ihm der Vollzug der Wegweisung drohte. Der Beweiswert des Haftbefehls ist überdies zweifelhaft, da als Haftgrund "Die Erschleichung einer Identitätskarte aufgrund falscher Angaben" aufgeführt wird. Die Begründung des Beschwerdeführers, der Haftgrund sei nur vorgeschoben, um ihn für seine politischen Aktivitäten zur Rechenschaft zu ziehen, überzeugt nicht. Der Beschwerdeführer belegt seinen politischen Aktivismus sowie seine Mitgliedschaft bei der marxistisch-leninistischen Partei (MLKP) in keiner Art und Weise. Auch das Schreiben des türkischen Anwaltes kann an dieser Einschätzung nichts ändern. Dem Schreiben ist lediglich zu entnehmen, dass der Beschwerdeführer wegen dieses Haftbefehls nach wie vor in der Türkei gesucht werde. Da keine Hinweise vorliegen, die geeignet wären, die Flüchtlingseigenschaft nachträglich zu begründen, ist die Vorinstanz auf das Asylgesuch zu Recht nicht eingetreten.</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in der Türkei noch individuelle Gründe lassen auf eine konkrete Gefährdung im Falle einer Rückkehr des Beschwerdeführers in die Türkei schliessen. Der Vollzug der Wegweisung ist demnach zumutbar.</w:t>
      </w:r>
    </w:p>
    <w:p>
      <w:r>
        <w:rPr>
          <w:b/>
        </w:rPr>
        <w:t>E. 5.4</w:t>
      </w:r>
    </w:p>
    <w:p>
      <w:r>
        <w:t>Der Vollzug ist schliesslich nach Art. 83 Abs. 2 AuG als möglich zu bezeichnen, weil es dem Beschwerdeführer obliegt, sich bei der zuständigen Vertretung des Heimatstaates die für eine Rückkehr notwendigen Reisedokumente zu beschaffen (vgl. BVGE 2008/34 E. 12 S. 513-515).</w:t>
      </w:r>
    </w:p>
    <w:p>
      <w:r>
        <w:rPr>
          <w:b/>
        </w:rPr>
        <w:t>E. 6</w:t>
      </w:r>
    </w:p>
    <w:p>
      <w:r>
        <w:t>Aus den vorstehenden Erwägungen ergibt sich, dass die angefochtene Verfügung Bundesrecht nicht verletzt und auch kein anderer Beschwerdegrund erfüllt ist (Art. 106 Abs. 1 AsylG). Die Beschwerde ist abzuweisen.</w:t>
      </w:r>
    </w:p>
    <w:p>
      <w:r>
        <w:rPr>
          <w:b/>
        </w:rPr>
        <w:t>E. 7</w:t>
      </w:r>
    </w:p>
    <w:p>
      <w:r>
        <w:t>Dem Ersuchen des Beschwerdeführers um Gewährung der unentgeltlichen Rechtspflege und um Bestellung eines Anwaltes kann nicht entsprochen werden, weil sein Begehren als aussichtslos zu gelten hat (Art. 65 Abs. 1 und Abs. 2 VwVG). Der Beschwerdeführer hat daher die Kosten des vorliegenden Verfahrens zu tragen (Art. 63 Abs. 1 VwVG), die auf Fr. 600.- festzusetzen sind (Art. 1 - 3 des Reglements vom 21. Februar 2008 über die Kosten und Entschädigungen vor dem Bundesverwaltungsgericht [VGKE, SR 173.320.2]). Das Gesuch um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