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E-4308/2017 vom 28. August 2017</w:t>
      </w:r>
    </w:p>
    <w:p>
      <w:r>
        <w:t>Bundesverwaltungsgericht, 2017-08-28, DE</w:t>
      </w:r>
    </w:p>
    <w:p>
      <w:r>
        <w:rPr>
          <w:b/>
        </w:rPr>
        <w:t xml:space="preserve">Quelle: </w:t>
      </w:r>
      <w:r>
        <w:t>https://mcp.opencaselaw.ch/entscheid/bvger_E-4308_2017</w:t>
      </w:r>
    </w:p>
    <w:p>
      <w:r>
        <w:t>FR: TAF E-4308/2017 du 28 août 2017</w:t>
      </w:r>
    </w:p>
    <w:p>
      <w:r>
        <w:t>IT: TAF E-4308/2017 del 28 agosto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4.1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4.2</w:t>
      </w:r>
    </w:p>
    <w:p>
      <w:r>
        <w:t>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5</w:t>
      </w:r>
    </w:p>
    <w:p>
      <w:r>
        <w:t>Die Schlussfolgerungen der Vorinstanz sind weder in tatsächlicher noch in rechtlicher Hinsicht zu beanstanden. Die angefochtene Verfügung ist ausreichend begründet. Die Rechtsmitteleingabe erschöpft sich in Wiederholungen des bereits Vorgetragenen und in Erklärungsversuchen, womit sie nicht aufzeigt, inwiefern die vorinstanzliche Beweiswürdigung Bundesrecht verletzen oder zu einer rechtsfehlerhaften Sachverhaltsfeststellung führen soll. Solches ist auch nicht ersichtlich. Das Bundesverwaltungsgericht hat - insbesondere aufgrund fehlender Glaubhaftigkeit - mit Urteil E-3031/2016 vom 7. Juni 2016 das Vorbestehen einer Familiengemeinschaft des Beschwerdeführers mit seiner Frau und eine Trennung der Familie durch die Flucht verneint. Vorliegend zeichnet sich kein anderes Bild ab. So hat die Vorinstanz in der angefochtenen Verfügung vom 3. Juli 2017 zutreffend festgestellt, dass das DNA-Gutachten nicht geeignet ist, um eine vorbestandene Familiengemeinschaft glaubhaft zu machen. Es belegt einzig die Vater- beziehungsweise Mutterschaft zweier Kinder, die im Oktober 2012 beziehungsweise im Februar 2015 geboren wurden. Dies wird auch nicht in Frage gestellt. Zur zentralen Frage der Einreise seiner Frau in den Sudan erklärt der Beschwerdeführer indes lediglich, es liege hierfür kein Beleg vor, zumal seine Frau im Flüchtlingslager aufgrund ihrer Blutgruppe nicht habe gebären können, mithin nicht registriert worden und unverzüglich nach Karthum weitergereist sei. Vor dem Hintergrund der offensichtlich unglaubhaften Aussagen und Eingaben zum Familienleben, genügt diese Erklärung auf Beschwerdeebene nicht. Die übrigen Beschwerdeausführungen und -beilagen gehen ebenfalls ins Leere, zumal die eritreische Geburtsurkunde eines angeblich verstorbenen Kindes aus dem Jahr 2010 nicht geeignet ist, am Beweisergebnis etwas zu ändern. Eine Erklärung, weshalb der Beschwerdeführer diese Geburtsurkunde erst Ende 2016 erhalten haben soll, bleibt aus. Im Übrigen ist dieser Urkunde ohnehin nur ein geringer Beweiswert zuzumessen, weil diese keine fälschungssicheren Merkmale aufweist und solche Urkunden käuflich leicht erwerbbar sind. Was die im vorinstanzlichen Verfahren eingereichte Heiratsurkunde anbelangt, zeichnet sich kein anderes Bild ab. So ist auch bei dieser nicht nachvollziehbar, weshalb sie nicht früher eingereicht werden konnte und weshalb sie überhaupt eingereicht wurde, nachdem der Beschwerdeführer im Verlauf des Verfahrens mehrmals betonte, eine solche sei in Eritrea nie ausgestellt worden (z. B. SEM-Akten, A3, S. 3 oder "In Eritrea war es nicht möglich, eine Heiratsurkunde zu erhalten", B3, S. 1 ff.). Ungeachtet der Unglaubhaftigkeit kann offen bleiben, ob eine Ehe aus rechtlicher Sicht überhaupt besteht oder nicht, weil dies am Beweisergebnis nichts zu ändern vermag (vgl. BVGE 2012/32 E. 5.4.2). Auf die entsprechenden Beschwerdeausführungen ist folglich nicht weiter einzugehen. Um Wiederholungen zu vermeiden, ist auf die zutreffenden Erwägungen der Vorinstanz zu verweisen, die zu Recht das Wiedererwägungsgesuch abgewiesen hat.</w:t>
      </w:r>
    </w:p>
    <w:p>
      <w:r>
        <w:rPr>
          <w:b/>
        </w:rPr>
        <w:t>E. 6</w:t>
      </w:r>
    </w:p>
    <w:p>
      <w:r>
        <w:t>Zusammenfassend ist festzuhalten, dass keine Wiedererwägungsgründe dargetan worden sind und die Vorinstanz das Gesuch um Wiedererwägung zu Recht abgewiesen hat.</w:t>
      </w:r>
    </w:p>
    <w:p>
      <w:r>
        <w:rPr>
          <w:b/>
        </w:rPr>
        <w:t>E. 7</w:t>
      </w:r>
    </w:p>
    <w:p>
      <w:r>
        <w:t>Aus diesen Erwägungen ergibt sich, dass die angefochtene Verfügung Bundesrecht nicht verletzt und auch sonst nicht zu beanstanden ist (Art. 106 AsylG). Es gibt keinen Grund zur Rückweisung der Sache an die Vorinstanz. Der entsprechende Antrag ist abzuweisen.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1'500.- (Art. 1-3 des Reglements vom 21. Februar 2008 über die Kosten und Entschädigungen vor dem Bundesverwaltungsgericht [VGKE], SR 173.320.2) dem Beschwerdeführer aufzuerlegen (Art. 63 Abs. 1 VwVG).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