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E-4302/2014 vom 14. Januar 2015</w:t>
      </w:r>
    </w:p>
    <w:p>
      <w:r>
        <w:t>Bundesverwaltungsgericht, 2015-01-14, DE</w:t>
      </w:r>
    </w:p>
    <w:p>
      <w:r>
        <w:rPr>
          <w:b/>
        </w:rPr>
        <w:t xml:space="preserve">Quelle: </w:t>
      </w:r>
      <w:r>
        <w:t>https://mcp.opencaselaw.ch/entscheid/bvger_E-4302_2014</w:t>
      </w:r>
    </w:p>
    <w:p>
      <w:r>
        <w:t>FR: TAF E-4302/2014 du 14 janvier 2015</w:t>
      </w:r>
    </w:p>
    <w:p>
      <w:r>
        <w:t>IT: TAF E-4302/2014 del 14 gennaio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In formeller Hinsicht wird gerügt, die Vorinstanz habe die Begründungspflicht und somit das rechtliche Gehör der Beschwerdeführerin verletzt, weil es die geltend gemachte Vergewaltigung nicht gewürdigt habe.</w:t>
      </w:r>
    </w:p>
    <w:p>
      <w:r>
        <w:rPr>
          <w:b/>
        </w:rPr>
        <w:t>E. 3.2</w:t>
      </w:r>
    </w:p>
    <w:p>
      <w:r>
        <w:t>Der Grundsatz des rechtlichen Gehörs (Art. 29 Abs. 2 BV, Art. 29 ff. VwVG) verlangt unter anderem, dass die verfügende Behörde die Vorbringen einer betroffenen Person tatsächlich hört, sorgfältig und ernsthaft prüft und in der Entscheidfindung berücksichtigt, was sich entsprechend in der Entscheidbegründung (vgl. Art. 35 Abs. 1 VwVG) niederschlagen muss. Ferner soll die Abfassung der Begründung es der betroffenen Person ermöglichen, den Entscheid gegebenenfalls sachgerecht anzufechten. Die ist nur dann der Fall, wenn sich sowohl die betroffene Person als auch die Rechtsmittelinstanz über die Tragweite des Entscheides ein Bild machen können, wobei sich die verfügende Behörde allerdings nicht ausdrücklich mit jeder tatbeständlichen Behauptung und jedem rechtlichen Einwand auseinander setzen muss, sondern sich auf die wesentlichen Gesichtspunkte beschränken kann. Dabei richtet sich die Begründungsdichte nach dem Verfügungsgegenstand, den Verfahrensumständen und den Interessen der betroffenen Person, wobei bei schwerwiegenden Eingriffen in die rechtlich geschützten Interessen der betroffenen Person eine sorgfältige Begründung verlangt wird (vgl. BVGE 2013/46 E. 6.3, 2013/34 E. 4.1, 2013/23 E. 6.1, 2011/37 E. 5.4.1, 2010/35 E. 4.1.2, 2009/54 E. 2.2, BVGE 2008/47 E. 3.2).</w:t>
      </w:r>
    </w:p>
    <w:p>
      <w:r>
        <w:rPr>
          <w:b/>
        </w:rPr>
        <w:t>E. 3.3</w:t>
      </w:r>
    </w:p>
    <w:p>
      <w:r>
        <w:t>Es trifft zwar zu, dass die Vorinstanz die geltend gemachte Vergewaltigung der Beschwerdeführerin lediglich im Sachverhalt erwähnte, diese in ihren Erwägungen zur Zumutbarkeit ihres weiteren Verbleibs in Uganda aber nicht mehr explizit erwähnte. Die Vorinstanz bedauerte jedoch die von der Beschwerdeführerin geschilderten Vorfälle, ohne nochmals einzeln darauf einzugehen, womit implizit ihre gesamte schwierige Lebenssituation mitumfasst wurde. Ob damit auch die geltend gemachte Vergewaltigung gemeint war, kann jedoch letztlich offenbleiben, zumal die Vor-instanz im Rahmen ih­rer Vernehm­lassung vom 15. Oktober 2014 die Be­gründung bezüglich der Vergewaltigung explizit ergänzte und feststellte, diese sei zwar bedauerlich gewesen, stelle aber keinen Grund für eine Einreisebewilligung in die Schweiz dar. Ferner befand sie, dass die Wahrscheinlichkeit, für ein erneutes derartiges Vorkommnis nicht höher sei als bei den übrigen in Uganda lebenden eritreischen Flüchtlingen. Der Beschwerdeführerin wurde mit Verfügung vom 16. Oktober 2014 Gelegenheit gewährt, dazu Stellung zu nehmen, wovon sie mit Eingabe vom 31. Juli 2014 [recte: 3. November 2014] Gebrauch gemacht hat. Damit wäre eine allfällige Verletzung des rechtlichen Gehörs spätestens im Rahmen von Vernehmlassung und Replik geheilt und die formellen Rügen im Ergebnis unbegründet. Darüber hinaus war es der Beschwerdeführerin möglich, sich ein Bild über die Tragweite des BFM-Entscheides zu machen und diesen sachgerecht anzufechten (vgl. BGE 129 I 232 E. 3.2). Es besteht folglich in diesem Zusammenhang kein Grund, die angefochtene Verfügung aufzuheben und die Sache zur Neubeurteilung an das SEM zurückzuweisen.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5.1</w:t>
      </w:r>
    </w:p>
    <w:p>
      <w:r>
        <w:t>Das SEM kann ein im Ausland gestelltes Asylgesuch ablehnen, wenn die asylsuchende Person keine Verfolgung nachweisen oder glaubhaft machen kann oder ihr die Aufnahme in einem Drittstaat zugemutet werden kann (Art. 3 und Art. 7 AsylG sowie aArt. 52 Abs. 2 AsylG). Gemäss aArt. 20 Abs. 2 AsylG bewilligt das SEM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SEM überweist (aArt. 20 Abs. 1 AsylG). Hinsichtlich des Verfah­rens bei der schweizerischen Vertretung im Ausland sieht aArt. 10 der Asylverordnung 1 über Verfahrensfragen vom 11. August 1999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Beschwerdeführerin wurde nicht zu ihrem Asylgesuch befragt. Sie liess ihre Vorbringen jedoch bereits im Asylgesuch vom 9. Februar 2012 selbst sowie vom 17. Februar 2012 durch die Rechtsberatungsstelle schriftlich darlegen. Mit Verfügung vom 24. April 2014 wurde sie unter Beilage eines explizit aufgelisteten Fragenkatalogs gebeten, für die vollständige Erstellung des rechtserheblichen Sachverhalts die entsprechenden Fragen vollständig und präzise zu beantworten. Hierzu nahm die Beschwerdeführerin am 5. Mai 2014 schriftlich Stellung. Der entscheidwesentliche Sachverhalt erscheint angesichts der schriftlichen Dar­legung der Asylgründe soweit erstellt, dass die entscheidrelevanten Elemente vorliegen.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6.1</w:t>
      </w:r>
    </w:p>
    <w:p>
      <w:r>
        <w:t>In Übereinstimmung mit der Vorinstanz ist zunächst festzustellen, dass eine flüchtlingsrechtlich relevante Gefährdung der Beschwerdefüh­rerin im Falle ihrer Rückkehr nach Eritrea durchaus gegeben sein könnte.</w:t>
      </w:r>
    </w:p>
    <w:p>
      <w:r>
        <w:rPr>
          <w:b/>
        </w:rPr>
        <w:t>E. 6.2</w:t>
      </w:r>
    </w:p>
    <w:p>
      <w:r>
        <w:t>Die Beschwerdeführerin befindet sich indes aktuell in Uganda, was hinsichtlich der bei ei­nem im Ausland gestellten Asylgesuch weiter zu prüfenden Frage, ob ihr die Aufnahme in einem Drittstaat zugemutet werden kann, zu be­rück­sichtigen ist (aArt. 52 Abs. 2 AsylG). Sie macht geltend, unter sehr schwierigen Verhältnissen und an Depressionen zu leiden.</w:t>
      </w:r>
    </w:p>
    <w:p>
      <w:r>
        <w:rPr>
          <w:b/>
        </w:rPr>
        <w:t>E. 6.2.1</w:t>
      </w:r>
    </w:p>
    <w:p>
      <w:r>
        <w:t>Halten sich die asylsuchenden Personen in einem Drittstaat auf, bedeutet dies noch nicht zwingend, dass es ihnen auch zuzu­muten ist, sich dort um Aufnahme zu bemühen. In einem solchen Fall ist aber im Sinne einer Vermutung davon auszugehen, die betreffenden Per­sonen hätten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6.2.2</w:t>
      </w:r>
    </w:p>
    <w:p>
      <w:r>
        <w:t>Die Beschwerdeführerin hält sich seit rund einem Jahr in F._______ auf und macht geltend, unter sehr schwierigen Verhältnissen und an Depressionen zu leiden, weil sie ihren Mann und ein Kind verloren habe. Sie unterlässt es jedoch auch auf Beschwerdestufe, dieses Vorbringen zu substantiieren und darzulegen, inwiefern ihr persönlich ein weiterer dortiger Aufenthalt nicht zumutbar sein soll. Namentlich äussert sie sich nicht substantiiert zu ihrer ganz persönlichen Lebenssituation in F._______. Ihre diesbezüglichen Angaben erschöpfen sich in wenigen allgemeinen Aussagen. So macht sie beispielsweise weder konkrete Angaben zu ihrem Aufenthaltsort und gibt lediglich an, bei Freunden ihres Onkels (im Asylgesuch: Freunde des Cousins) zu leben. Auch über ihr Alltagsleben gibt sie kaum Auskunft, ob sie allenfalls bei den Leuten, bei denen sie und ihr Sohn wohnen, einer Arbeitstätigkeit nachzugehen und ob ihr nun (...)-jähriger Sohn zur Schule gehe. Sie wiederholt lediglich, physisch, psychisch und moralisch zu leiden und Unsicherheit über ihr zukünftiges Leben zu fühlen. Hierzu ist festzuhalten, dass das Gericht nicht daran zweifelt, dass sie nach den erlittenen Verlusten psychische Probleme hatte. Auch die Vergewaltigung stellt zweifellos ein traumatisierendes Ereignis dar. Die Beschwerdeführerin erhielt jedoch danach medizinische Betreuung und wurde untersucht. Bezüglich ihrer psychischen Verfassung wurde festgehalten, dass sie zwar aufgeregt und verwirrt, aber allgemein mit klaren Verstand gewesen sei (She appears agitaded and confused but generally of sound mind [vgl. Arztbericht A2]). Den Akten kann weiter nicht entnommen werden, dass sie sich nach der Vergewaltigung medikamentös mit Antidepressiva, psychiatrisch oder gesprächstherapeutisch behandeln liess. Daher ist zu schliessen, ohne die Situation zu verharmlosen, dass ihre psychischen Probleme nicht derart schwerwiegend sind, dass ihr persönlich ein weiterer Aufenthalt in Uganda nicht zumutbar und möglich wäre. Hinsichtlich ihrer Befürchtung, erneut vergewaltigt zu werden, geht das Bundesverwaltungsgericht mit der Vorinstanz einig, dass die Wahrscheinlichkeit für ein derartiges Vorkommnis nicht höher ist, als bei den übrigen in Uganda lebenden Flüchtlingen. Im Weiteren führt die Beschwerdeführerin keine Benachteiligungen seitens der ugandischen Behörden im Sinne des Asylgesetzes an und bringt auch keine Befürchtung vor, sie könnte nach Eritrea zurückgeschickt oder verschleppt werden. Vielmehr ist gemäss Aktenlage festzustellen, dass sie an ihrem Zu­fluchtsort beim UNHCR als Flüchtling registriert worden ist und eine ugandische Aufenthaltsbewilligung besitzt, die alle drei Monate erneuert werden muss. Daher kann geschlossen werden, dass sie offenbar nicht auf einen Aufenthalt im Lager angewiesen ist, wo sie nach ihrer Registrierung so gut wie möglich versorgt gewesen wäre, sondern eine Bleibe bei den Freunden ihres Cousins beziehungsweise Onkels vorzieht.</w:t>
      </w:r>
    </w:p>
    <w:p>
      <w:r>
        <w:rPr>
          <w:b/>
        </w:rPr>
        <w:t>E. 6.3</w:t>
      </w:r>
    </w:p>
    <w:p>
      <w:r>
        <w:t>Die Beschwerdeführerin macht einen Bezug zur Schweiz geltend. Hier lebe (...), (...) Asyl erhalten habe. Das BFM kam zum Schluss, die Abwägung der Gesamtum­stände und die Anknüpfung der Beschwerdeführerin zur Schweiz, wel­che durch die Person (...) geschaf­fen werde, führe nicht dazu, dass es gerade die Schweiz sein müsse, die ihr den Schutz zu gewähren habe. Dieser Einschät­zung der Sachlage und der Feststellung, dass die durch die ver­wandtschaftliche Beziehung zu (...) bestehende Verbin­dung nicht eine genügend enge Beziehungsnähe zu Schweiz darstelle, ist zuzu­stim­men. In der Beschwerde fehlen sodann Argumente, welche eine an­dere Sichtweise rechtfertigen würden. Es wird nicht einmal dargetan, dass zu (...), (...) sie mindestens seit sechs Jahren nicht gesehen hat, ein vertrautes Verhältnis bestünde.</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7.1</w:t>
      </w:r>
    </w:p>
    <w:p>
      <w:r>
        <w:t>Zusammenfassend ist festzustellen, dass den Beschwerdeführenden ein weiterer Verbleib in Uganda zumutbar ist und sie auf den Schutz der Schweiz nicht angewiesen sind. Die Vorinstanz hat ihnen demnach zu Recht die Einreise in die Schweiz nicht bewilligt und das Asylgesuch aus dem Ausland abgelehnt.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grund­sätzlich den Beschwerdeführenden aufzuerlegen (Art. 63 Abs. 1 VwVG). Da das mit der Beschwerde gestellte Gesuch um Gewährung der unentgeltlichen Rechtspflege im Sinne von Art. 65 Abs. 1 VwVG mit Verfügung vom 1. Oktober 2014 gutgeheissen wurde,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