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E-4301/2006 vom 28. Februar 2011</w:t>
      </w:r>
    </w:p>
    <w:p>
      <w:r>
        <w:t>Bundesverwaltungsgericht, 2011-02-28, DE</w:t>
      </w:r>
    </w:p>
    <w:p>
      <w:r>
        <w:rPr>
          <w:b/>
        </w:rPr>
        <w:t xml:space="preserve">Quelle: </w:t>
      </w:r>
      <w:r>
        <w:t>https://mcp.opencaselaw.ch/entscheid/bvger_E-4301_2006</w:t>
      </w:r>
    </w:p>
    <w:p>
      <w:r>
        <w:t>FR: TAF E-4301/2006 du 28 février 2011</w:t>
      </w:r>
    </w:p>
    <w:p>
      <w:r>
        <w:t>IT: TAF E-4301/2006 del 28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seiner Verfügung aus, der Beschwerdeführer habe zu wesentlichen Punkten seiner Vorbringen widersprüchliche Angaben gemacht, so zum Namen seiner festgenom­menen Mitbewohner, zu der Frage, ob diese noch in Haft seien, und zur Anzahl der festgenommenen Vorstandsmitglieder der Studentenorganisa­tion. Die erst bei der ergänzenden Befragung durch das BFM vorgebrach­te Verhaftung des Freundes E._______ sei als nachgeschoben und damit un­glaubhaft zu erachten. Seine Erklärungen auf Vorhalt dieser Unge­reimt­heiten vermöchten diese nicht aufzulösen. Im Weiteren habe der Be­schwerdeführer nicht hinreichend substanziierte Angaben zu den Um­ständen der Verhaftung seines Onkels und des Verhörs seines Vaters, den gegen seinen Freund E._______ erhobenen Vorwürfen sowie dem Schicksal der verhafteten Vorstandsmitglieder zu machen vermocht. Es wäre zu erwarten, dass er zu diesen Punkten über genauere Informationen verfügen würde. Ferner seien die vom Beschwerdeführer eingereichten, von ihm in den Jahren 2002 und 2003 verfassten Artikel als nicht sensibel einzustufen und seien damit nicht geeignet, Verfolgungsmassnahmen durch die Behörden auszulösen. Schliesslich habe er ausdrücklich bestätigt, vor dem 8. Mai 2003 keine Probleme mit den Behörden gehabt zu haben. Es sei davon auszugehen, dass der Beschwerdeführer sein Heimatland auf legalem Weg verlassen habe und den dabei benutzten Reisepass den schweizerischen Behörden vorenthalte, um Angaben zu verheimlichen. Die Erklärung, dass ihm die Eltern nur das Militärbüchlein zugestellt hätten, vermöge nicht zu überzeugen.</w:t>
      </w:r>
    </w:p>
    <w:p>
      <w:r>
        <w:rPr>
          <w:b/>
        </w:rPr>
        <w:t>E. 4.2</w:t>
      </w:r>
    </w:p>
    <w:p>
      <w:r>
        <w:t>Der Beschwerdeführer stellte sich zur Begründung seiner Beschwer­de zunächst auf den Standpunkt, dass entgegen der Auffassung der Vor­instanz keine zureichenden Gründe vorliegen würden, um seine Asylvor­bringen als unglaubhaft erscheinen zu lassen. Das Bundesamt habe die längere Zeitspanne zwischen den beschriebenen Ereignissen und den Befragungen sowie zwischen der kantonalen Anhörung und der ergän­zenden Befragung durch das BFM nicht berücksichtigt. Zudem habe er erst im Laufe der Zeit nähere Informationen zum Schicksal seiner Kolle­gen erhalten. Dass er unterschiedliche Angaben zur Anzahl der festge­nommenen Vorstandsmitglieder sowie zur Freilassung von Kollegen ge­macht habe, lasse sich dadurch erklären, dass er von diesen Ereig­nissen nur durch die Berichte seines Freundes D._______ wisse. Es könne auch ein Missverständnis mit dem Dolmetscher nicht ausgeschlossen werden. Die Aktivitäten seines Freundes E._______ und dessen Festnahme würden in kei­nem Zusammenhang zu seinem eigenen Engagement stehen, weshalb er die­se erst bei der ergänzenden Anhörung erwähnt habe, als Beispiel für das brutale Vorgehen der syrischen Behörden. Im Weiteren sei es ihm nicht möglich, genauere Informationen über das Schicksal seiner Ange­hörigen zu erlangen, weil er aufgrund der Überwachung durch die Sicher­heits­kräfte keinen direkten Kontakt zu seiner Familie aufnehmen könne. Das­selbe gelte für die Umstände der Inhaftierung seines Freundes E._______ sowie der übrigen Vorstandsmitglieder. Nicht nachvollziehbar sei, dass das Bun­desamt den Zusammenhang zwischen der Verfolgung seiner Kommili­tonen und seiner Flucht übersehen habe. Es werde auch daran festge­halten, dass die Behörden durch die von ihm verfassten, als Wand­zeitung veröffentlichten Artikel erstmals auf ihn aufmerksam geworden seien. Schliesslich drohe ihm auch deshalb Verfolgung durch die syrischen Be­hörden, weil er sein Heimatland illegal und ohne gültiges Reisedoku­ment verlassen habe und sich damit verbotenerweise im Ausland aufge­halten habe. Somit seien subjektive Nachfluchtgründe im Sinne von Art. 54 AsylG gegeben. Im Weiteren habe er den Militärdienst nicht geleistet, weshalb er als Refraktär mit einer erheblichen Strafe, verbun­den mit einem Polit-Malus, rechnen müsse.</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5.2.1</w:t>
      </w:r>
    </w:p>
    <w:p>
      <w:r>
        <w:t>Zunächst teilt das Gericht die Einschätzung der Vorinstanz, dass der Beschwerdeführer zu wesentlichen Elementen der Begründung seines Asylgesuchs divergierende und ungenaue Angaben gemacht hat, ohne diese Ungereimtheiten überzeugend ausräumen zu können. So hat er anlässlich der Kurzbefragung und in der ergänzenden Anhörung ausgeführt, es seien vier Mitglieder des Vereinsvorstands verhaftet worden (Vorakten BFM A1 S. 5; A10 S. 10, 11), wohingegen er an der kantonalen Anhörung zunächst zu Protokoll gab, es seien alle anderen Mitglieder des (inklusive des Beschwerdeführers selber) siebenköpfigen Vorstands, mithin sechs Personen, verhaftet worden (A7 S. 16), später aber von fünf verhafteten Mitgliedern sprach (A7 S. 19). Ferner machte er widersprüchliche Angaben sowohl zum Namen seiner angeblich verhafteten Mitbewohner sowie zur Frage, ob diese noch in Haft seien oder zwischenzeitlich freigelassen worden seien. Die diesbezüglichen Erklärungen des Beschwerdeführers anlässlich der Befragungen im erstinstanzlichen Verfahren und in seiner Beschwerdeeingabe sind nicht geeignet, die genannten Widersprüche auszuräumen. Der Hinweis auf den grossen zeitlichen Abstand zwischen den beschriebenen Ereignissen und den Befragungen vermag nicht zu überzeugen, zumal Widersprüche auch zwischen den protokollierten Aussagen anlässlich der Kurzbefragung an der Empfangsstelle und der kantonalen Anhörung festzustellen sind, welche nur wenige Monate nach der Ausreise des Beschwerdeführers stattfanden. Ferner hielt sich der Beschwerdeführer gemäss seiner Darstellung im Zeitpunkt, als seine Mitbewohner festgenommen und nach einigen Tagen wieder freigelassen worden seien, noch in seinem Heimatland auf. Es wäre demnach davon auszu­gehen, dass er bereits vor seiner Ausreise genaue Kenntnis von diesen Umständen erhalten hätte und ihm deshalb im Zeitpunkt der kantonalen Anhörung die Freilassung seiner Mitbewohner bekannt gewesen sein müsste. Im Weiteren lässt die Aktenlage nicht darauf schliessen, dass es sich beim Beschwerdeführer um einen besonders pointierten Kritiker des syri­schen Regimes handelt, welcher sich als ernsthafter und potentiell ge­fährlicher Regimegegner hervorgetan hätte. Es erscheint demnach nicht nachvollziehbar, dass die Sicherheitskräfte derart umfangreiche Mass­nahmen ergriffen hätten, um seiner habhaft zu werden, und dass es ihnen trotzdem nicht gelungen sein soll, ihn aufzufinden, zumal ihnen nach Angaben des Beschwerdeführers dessen freundschaftliche Beziehung zu D._______, welcher ihn versteckte, bekannt war (vgl. A7 S. 20) und er sich nach der Verhaftung seiner Freunde noch beinahe zwei Monate in seinem Hei­matland aufhielt.</w:t>
      </w:r>
    </w:p>
    <w:p>
      <w:r>
        <w:rPr>
          <w:b/>
        </w:rPr>
        <w:t>E. 5.2.2</w:t>
      </w:r>
    </w:p>
    <w:p>
      <w:r>
        <w:t>Die vom Beschwerdeführer eingereichten Beweismittel sind nicht geeignet, zu einer anderen Einschätzung zu führen. Bei den nach seinen Angaben in einer Wandzeitung publizierten Artikeln handelt es sich um Computer-Ausdrucke (vgl. A8/5), deren Veröffentlichung in der dargelegten Weise nicht belegt ist. Zudem weisen diese keinen fundamental regimekritischen Inhalt auf (zum Inhalt vgl. A10 S. 13 f.). Dementsprechend erscheint es nicht glaubhaft, dass sie der Auslöser der nach Darstellung des Beschwerdeführers für seine Ausreise ausschlaggebenden Verfolgungsmassnahmen gewesen sein sollen. Die Vorladung des Innenministeriums vom (...) Januar 2008 (Beschwerdeakten act. 22) ist in Übereinstimmung mit dem BFM als Fälschung zu erachten, da das verwendete Formular offensichtliche Kopierspuren aufweist und wesentliche Informationen (Termin und genauer Ort der Vorladung) darin fehlen. Die Stellungnahme des Beschwerdeführers, bei syrischen Behörden sei Schlendrian weit verbreitet und es sei durchaus denkbar, dass eine behördliche Vorladung auf der Kopie einer Kopie ausgestellt werde (vgl. Beschwerdeakten act. 33), vermag nicht zu überzeugen; zu den sinngemäss beantragten weiteren Abklärungen betreffend Überprüfung der Authentizität des Dokuments besteht keine Veranlassung. Gestützt auf Art. 10 Abs. 4 AsylG wird das Dokument eingezogen. Ferner ist dem amtlichen Schreiben betreffend den Bruder vom 5. August 2010 (Beschwerdeakten act. 29) kein Zusammenhang zu den Asylvorbringen des Beschwerdeführers zu entnehmen. Diesen Dokumenten lassen sich somit keine glaubhaften und konkreten Hinweise dafür entnehmen, dass der Beschwerdeführer im heutigen Zeitpunkt gesucht wird.</w:t>
      </w:r>
    </w:p>
    <w:p>
      <w:r>
        <w:rPr>
          <w:b/>
        </w:rPr>
        <w:t>E. 5.2.3</w:t>
      </w:r>
    </w:p>
    <w:p>
      <w:r>
        <w:t>Zusammenfassend gelangt das Gericht unter Berücksichtigung die­ser Umstände sowie in Anwendung der oben genannten Massstäbe zum Schluss, dass die Ausführungen des Beschwerdeführers betreffend die Furcht vor Verfolgung durch die syrischen Behörden den Anforderungen an die Glaubhaftigkeit insgesamt nicht zu genügen vermögen.</w:t>
      </w:r>
    </w:p>
    <w:p>
      <w:r>
        <w:rPr>
          <w:b/>
        </w:rPr>
        <w:t>E. 5.3</w:t>
      </w:r>
    </w:p>
    <w:p>
      <w:r>
        <w:t>Schliesslich ist auf die Frage einzugehen, ob möglicherweise dem Umstand asylrechtliche Relevanz zukommt, dass der Beschwerdeführer im Falle einer Rückkehr nach Syrien in den Militärdienst eingezogen wer­den könnte.</w:t>
      </w:r>
    </w:p>
    <w:p>
      <w:r>
        <w:rPr>
          <w:b/>
        </w:rPr>
        <w:t>E. 5.3.1</w:t>
      </w:r>
    </w:p>
    <w:p>
      <w:r>
        <w:t>Der Beschwerdeführer machte im Rahmen der durchgeführten Anhörungen zunächst nicht geltend, er habe im Zusammenhang mit einer bevorstehenden militärischen Dienstpflicht etwas zu befürchten und sei deswegen aus seinem Heimatstaat ausgereist. Anlässlich der kantonalen Anhörung sowie der eingehenden Anhörung durch das BFM führte er aus, er habe den Militärdienst bis zur Beendigung seines Studiums ver­schieben können. Mit der Beschwerdeschrift führte er aus, er werde von den syrischen Behörden als Refraktär eingestuft und habe deshalb harte Sanktionen zu erwarten.</w:t>
      </w:r>
    </w:p>
    <w:p>
      <w:r>
        <w:rPr>
          <w:b/>
        </w:rPr>
        <w:t>E. 5.3.2</w:t>
      </w:r>
    </w:p>
    <w:p>
      <w:r>
        <w:t>Zunächst ist festzustellen, dass der Beschwerdeführer nicht gel­tend macht, er habe den Militärdienst verweigert. Der Umstand alleine, dass er ohne den Dienst geleistet zu haben aus Syrien ausreiste und sich längere Zeit im Ausland aufgehalten hat, ist nicht mit einer Verweigerung des Militärdienstes gleichzusetzen. Ferner machte er keine konkrete Anga­ben dazu, weshalb ihm in Syrien bei der Leistung des Militärdienstes besondere Nachteile drohen würden.</w:t>
      </w:r>
    </w:p>
    <w:p>
      <w:r>
        <w:rPr>
          <w:b/>
        </w:rPr>
        <w:t>E. 5.3.3</w:t>
      </w:r>
    </w:p>
    <w:p>
      <w:r>
        <w:t>Schliesslich ist in diesem Zusammenhang allgemein festzuhalten, dass auch eine allfällige Strafe wegen Refraktion oder Desertion gemäss konstanter Praxis der ehemaligen ARK - die auch für das Bundesverwal­tungsgericht nach wie vor Gültigkeit hat -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(vgl. etwa EMARK 2001 Nr. 15 E. 8d/da, 2004 Nr. 2 E. 6b/aa). Im vorliegenden Fall sind indessen angesichts der fehlenden Glaubhaftigkeit der Asylvor­bring­en ohnehin keine konkreten Hinweise ersichtlich, dass der Beschwerde­führer aufgrund seiner Rasse, Religion, Nationalität, seiner Zugehörigkeit zu einer ethnischen oder sozialen Gruppe oder wegen seiner politischen Anschauungen mit einer höheren Strafe zu rechnen hätte als Refraktäre und Deserteure ohne einen solchen spezifischen Hintergrund. Auch dass der Beschwerdeführer durch einen allfälligen Militärdienst in völkerrechtswidrige Handlungen verstrickt werden könnte (vgl. EMARK 2004 Nr. 2), wird nicht geltend gemacht.</w:t>
      </w:r>
    </w:p>
    <w:p>
      <w:r>
        <w:rPr>
          <w:b/>
        </w:rPr>
        <w:t>E. 5.4</w:t>
      </w:r>
    </w:p>
    <w:p>
      <w:r>
        <w:t>Zusammenfassend ist als Zwischenergebnis festzuhalten, dass es dem Beschwerdeführer nicht gelungen ist, eine im Zeitpunkt seiner Aus­reise aus Syrien im Jahre 2003 bestehende oder unmittelbar dro­hen­de asylrelevante Verfolgungsgefahr nachzuweisen oder glaubhaft zu ma­chen. Somit hat die Vorinstanz zu Recht das Asylgesuch des Beschwer­deführers abgewiesen.</w:t>
      </w:r>
    </w:p>
    <w:p>
      <w:r>
        <w:rPr>
          <w:b/>
        </w:rPr>
        <w:t>E. 6.1</w:t>
      </w:r>
    </w:p>
    <w:p>
      <w:r>
        <w:t>Im Folgenden ist zu prüfen, ob der Beschwerdeführer durch sein Ver­halten nach der Ausreise, namentlich durch das auf Beschwerdeebene geltend gemachte exilpolitische Engagement, sowie durch seine illega­le Ausreise Grund für eine zukünftige Verfolgung durch die syrischen Behörden gesetzt hat und aus diesem Grund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6.3</w:t>
      </w:r>
    </w:p>
    <w:p>
      <w:r>
        <w:t>Die rechtsstaatlich nicht kontrollierten syrischen Sicherheits- und Geheimdienste verfügen über umfassende Sondervollmachten (vgl. EMARK 2004 Nr. 1 E. 5b.cc S. 7). Sie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(vgl. EMARK 2005 Nr. 7 E. 7.2 S. 70 ff. mit weiteren Hinweisen).</w:t>
      </w:r>
    </w:p>
    <w:p>
      <w:r>
        <w:rPr>
          <w:b/>
        </w:rPr>
        <w:t>E. 6.4</w:t>
      </w:r>
    </w:p>
    <w:p>
      <w:r>
        <w:t>Gemäss Erkenntnissen des Bundesverwaltungsgerichts trifft es zwar somit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6.5</w:t>
      </w:r>
    </w:p>
    <w:p>
      <w:r>
        <w:t>Der Beschwerdeführer hat im Beschwerdeverfahren drei von ihm ver­fasste Presseartikel zu den Akten gereicht, welche im Jahre 2005 in der in London erscheinenden arabischen Zeitung "Al Quds al-Arabi" publiziert wurden (Beschwerdeakten act. 7 und act. 22). Den vorliegenden Übersetzungen ist auch in diesem Fall zu entnehmen, dass in diesen Artikeln keine fundamentale Kritik am syri­schen Regime geübt wird und sie nicht in besonders prominenter Weise in der Zeitung erschienen sind. Demnach ist davon auszugehen, dass der Beschwerdeführer sich durch die einge­reichten Publikationen nicht in derartiger Weise exponiert hat, dass er damit rechnen müsste, vom syrischen Geheimdienst als ernsthafter Oppositioneller wahrgenommen und entsprechend registriert worden zu sein. Für diese Einschätzung spricht auch der Umstand, dass der Beschwerdeführer gemäss Aktenlage seither keinerlei weitere regimekritische Aktivitäten entfaltet hat.</w:t>
      </w:r>
    </w:p>
    <w:p>
      <w:r>
        <w:rPr>
          <w:b/>
        </w:rPr>
        <w:t>E. 6.6</w:t>
      </w:r>
    </w:p>
    <w:p>
      <w:r>
        <w:t>Allein die Tatsache, dass der Beschwerdeführer nach einer angeblich illegalen Ausreise in der Schweiz ein Asylgesuch gestellt hat, gereicht nicht zur Annahme, dass er bei der Rückkehr in sein Heimatland mit beachtlicher Wahr­scheinlichkeit eine menschenrechtswidrige Behandlung zu befürchten hätte. Zwar ist aufgrund seiner längeren Landesabwesen­heit davon auszu­ge­hen, dass er bei der Wiedereinreise nach Syrien einer Befragung durch die heimatlichen Behörden unterzogen wird. Da er jedoch nicht glaubhaft zu machen vermag, in der Vergangenheit in mass­geblicher Weise politisch aktiv gewesen zu sein, ist nicht anzunehmen, dass die syrischen Behörden ihn als staatsge­fährdend einstufen würden, weshalb nicht damit zu rechnen ist, der Beschwerde­führer habe bei einer Rückkehr asylrelevante Massnahmen zu befürch­ten.</w:t>
      </w:r>
    </w:p>
    <w:p>
      <w:r>
        <w:rPr>
          <w:b/>
        </w:rPr>
        <w:t>E. 6.7</w:t>
      </w:r>
    </w:p>
    <w:p>
      <w:r>
        <w:t>Unter Berücksichtigung der gesamten Umstände folgt, dass der Beschwerdeführer die Voraussetzungen für die Anerkennung von subjek­tiven Nachfluchtgründen im Sinne von Art. 54 AsylG nicht erfüllt. Das BFM hat demzufolge die Flüchtlingseigenschaft des Beschwerdeführers zu Recht verneint.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Auf­grund der Akten sowie der vorstehenden Erwägungen betreffend die Frage der Flüchtlingseigenschaft ist nicht davon auszugehen, dass ihm im Falle einer Rückschiebung nach Syrien eine derartige Gefahr droht. Dies gilt selbst dann, wenn er nach seiner Rückkehr nach Syrien wegen seiner illegal erfolgten Ausreise einer näheren Überprüfung unterzogen würde.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Unter Berücksichtigung der allgemeinen heutigen Sicherheitslage in Syrien sind keine Hinweise dafür ersichtlich, dass der Beschwerdeführer bei einer Rückkehr in sein Heimatland in konkreter Weise gefährdet wäre. Eine Situation allgemeiner Gewalt oder kriegerischer oder bürgerkriegs­ähnlicher Verhältnisse, welche für ihn eine konkrete Gefährdung dar­stel­len würden, liegt nicht vor. Ferner sind auch keine individuellen Gründe ersichtlich, welche die Rückkehr des Beschwerdeführers nach Syrien als unzumutbar erscheinen lassen. Aufgrund der Aktenlage deutet nichts da­rauf hin, dass der (...)-jährige Beschwerdeführer aus Gründen wirt­schaft­licher, sozialer oder gesundheitlicher Natur bei einer Rückkehr in eine existenzbedrohende Situation geraten würde. Trotz der relativ lan­gen Auf­enthaltsdauer des Beschwerdeführers in der Schweiz erachtet das Bun­desverwaltungsgericht den Wegweisungsvollzug nach Syrien, wo er den grössten Teil ihres Lebens verbracht hat, als zumutbar. Es liegen keine Hinweise für das Bestehen gesundheitlicher Beschwerden vor. Zudem verfügt der Beschwerdeführer über eine überdurchschnittlich gute Aus­bildung und es ergibt sich aufgrund der Akten, dass er in Syrien in seiner Verwandtschaft ein soziales Beziehungsnetz hat, auf dessen Unter­stüt­zung er für die Reintegration zurückgreifen kann und. Schliesslich ergibt sich aus den Akten des Asylverfahrens der Ehefrau des Beschwerdefüh­rers, dass diese zeitweilig in Syrien lebte, weshalb ihr eine erneute Wohn­sitznahme in diesem Land zuzumuten ist. Demnach spricht auch unter dem Gesichtspunkt des Grundsatzes der Einheit der Familie nichts gegen den Vollzug der Wegweisung.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Aspekte der Integration des Beschwerdeführers in der Schweiz, worauf im Beschwerdeverfahren hingewiesen worden ist (vgl. Beschwerdeakten act. 23 und 29) können im vorliegenden Verfahren nicht gewürdigt werden; die entsprechende Zuständigkeit liegt gemäss Art. 14 Abs. 2 AsylG, unter Zustimmung des BFM, bei den kantonalen Behörden.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