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E-4290/2008 vom 3. September 2010</w:t>
      </w:r>
    </w:p>
    <w:p>
      <w:r>
        <w:t>Bundesverwaltungsgericht, 2010-09-03, DE</w:t>
      </w:r>
    </w:p>
    <w:p>
      <w:r>
        <w:rPr>
          <w:b/>
        </w:rPr>
        <w:t xml:space="preserve">Quelle: </w:t>
      </w:r>
      <w:r>
        <w:t>https://mcp.opencaselaw.ch/entscheid/bvger_E-4290_2008</w:t>
      </w:r>
    </w:p>
    <w:p>
      <w:r>
        <w:t>FR: TAF E-4290/2008 du 3 septembre 2010</w:t>
      </w:r>
    </w:p>
    <w:p>
      <w:r>
        <w:t>IT: TAF E-4290/2008 del 3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Abs. 1 AsylG sowie Art. 105 AsylG i.V.m. Art. 37 VGG und Art. 48 Abs. 1 VwVG sowie Art. 52 VwVG). Auf die Beschwerde wurde zu Recht eingetreten.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EMARK 2005 Nr. 21 E. 7 S. 193).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2008/4 E. 5.4 S. 38).</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 S. 190 f.).</w:t>
      </w:r>
    </w:p>
    <w:p>
      <w:r>
        <w:rPr>
          <w:b/>
        </w:rPr>
        <w:t>E. 4.1</w:t>
      </w:r>
    </w:p>
    <w:p>
      <w:r>
        <w:t>Das Bundesverwaltungsgericht gelangt nach Prüfung der Akten zum Schluss, dass das BFM aufgrund der im Rahmen der Glaubhaftigkeitsprüfung ausgeführten einzelnen Aspekte zu Recht erkannt hat, dem vom Beschwerdeführer in der vorgebrachten Form geltend gemachten Sachverhalt könne in seinem Gesamtbild und im Resultat keine im Sinne von Art. 7 AsylG glaubhaft gemachte Grundlage zuerkannt werden, die die Voraussetzungen der Flüchtlingseigenschaft gemäss Art. 3 AsylG erfüllen könnte.</w:t>
      </w:r>
    </w:p>
    <w:p>
      <w:r>
        <w:rPr>
          <w:b/>
        </w:rPr>
        <w:t>E. 4.2</w:t>
      </w:r>
    </w:p>
    <w:p>
      <w:r>
        <w:t>Die Entgegnungen in der Rechtsmitteleingabe und die eingereichten Beweismittel vermögen in entscheidrelevanter Hinsicht nicht gegen die angefochtene Verfügung durchzudringen.</w:t>
      </w:r>
    </w:p>
    <w:p>
      <w:r>
        <w:rPr>
          <w:b/>
        </w:rPr>
        <w:t>E. 4.2.1</w:t>
      </w:r>
    </w:p>
    <w:p>
      <w:r>
        <w:t>Wenn in der Beschwerde das widersprüchliche Aussageverhalten des Beschwerdeführers und die unglaubhaften Angaben zum Verbleib seiner Identitätskarte bloss bestritten werden, ohne auf die ausgewogenen Erwägungen in der angefochtenen Verfügung näher einzugehen, erscheint dies wenig hilfreich. Zwecks Vermeidung unnötiger Wiederholungen kann bezüglich der unglaubhaften Angaben zum Verbleib der Identitätskarte auf die ausführlichen Überlegungen in der angefochtenen Verfügung des BFM verwiesen werden. Das Bundesamt folgerte demnach zu Recht, der eingereichte Haftbefehl und die Bestätigung der Inhaftierung könnten nicht eindeutig dem Beschwerdeführer zugeordnet werden. Unerklärlich ist zudem, wie der Beschwerdeführer in den Besitz des Originals eines Haftbefehls gelangen könnte, das einzig für die zuständigen Strafuntersuchungsbehörden bestimmt ist. Umso unbehelflicher erscheint das Vorbringen in der Rechtsmitteleingabe, der Haftbefehl sei von der Polizei an die Mutter des Beschwerdeführers und zusätzlich durch einen Freund an den Beschwerdeführer direkt ausgehändigt worden.</w:t>
      </w:r>
    </w:p>
    <w:p>
      <w:r>
        <w:rPr>
          <w:b/>
        </w:rPr>
        <w:t>E. 4.2.2</w:t>
      </w:r>
    </w:p>
    <w:p>
      <w:r>
        <w:t>Im Weiteren hat das BFM zu Recht festgestellt, dass die Partei CUD erst im Jahre 2005 gegründet worden ist und sich der Beschwerdeführer bereits seit dem Jahre 2003 für diese Partei engagiert haben will. Die Folgerung des BFM, es müsse sich beim im Jahre 2003 ausgestellten CUD-Parteiausweis um eine Fälschung handeln, ist demnach zu bestätigen. Der Einwand des Beschwerdeführers, er habe diese Unstimmigkeit nachvollziehbar aufzulösen vermocht, kann nicht überzeugen, nachdem er selbst ausgeführt hatte, die sich im Jahre 2005 zur CUD zusammengeschlossenen Parteien seien zuvor als eigenständige Parteien mit eigenständigem Namen tätig gewesen (Akten BFM A8/20 S. 9).</w:t>
      </w:r>
    </w:p>
    <w:p>
      <w:r>
        <w:rPr>
          <w:b/>
        </w:rPr>
        <w:t>E. 4.2.3</w:t>
      </w:r>
    </w:p>
    <w:p>
      <w:r>
        <w:t>Auch ist mit dem BFM einig zu gehen, dass es unerklärlich erscheint, weshalb der Beschwerdeführer bis im Jahre 2005 an seinem Arbeitsort (als [...]) hätte tätig sein können, wenn er ab August 2004 gesucht worden sein will, und es den Sicherheitsorganen nicht möglich gewesen sein soll, ihn an seinem langjährigen Arbeitsplatz ausfindig zu machen und festzunehmen. Der Erklärungsversuch in der Rechtsmitteleingabe, der Beschwerdeführer sei an seinem Arbeitsort von der Polizei nicht gefasst worden, weil er sehr oft ausserhalb (...) bei Kunden gearbeitet habe, vermag nicht zu überzeugen.</w:t>
      </w:r>
    </w:p>
    <w:p>
      <w:r>
        <w:rPr>
          <w:b/>
        </w:rPr>
        <w:t>E. 4.2.4</w:t>
      </w:r>
    </w:p>
    <w:p>
      <w:r>
        <w:t>Schliesslich ist dem BFM beizupflichten, dass die Aussagen des Beschwerdeführers zu seiner einmonatigen Haftzeit äusserst stereotyp und oberflächlich blieben. In der Rechtsmitteleingabe wird denn auch dazu nichts eingewendet. Die diesebezüglichen Angaben des Beschwerdeführers anlässlich der Anhörungen sind derart dürftig, dass berechtigterweise davon ausgegangen werden muss, er habe die geltend gemachte einmonatige Haft nicht tatsächlich erlebt. Auf Nachfrage bezüglich der Schilderung eines Tagesablaufes in Haft erwiderte der Beschwerdeführer lediglich, gleich nach der Festnahme sei er verhört worden, und danach sei bis zur Freilassung nichts mehr geschehen, weshalb er auch nichts über die Haftzeit sagen könne (A8/20 S. 12).</w:t>
      </w:r>
    </w:p>
    <w:p>
      <w:r>
        <w:rPr>
          <w:b/>
        </w:rPr>
        <w:t>E. 4.2.5</w:t>
      </w:r>
    </w:p>
    <w:p>
      <w:r>
        <w:t>Es erübrigt sich bei dieser Sachlage, auf die weiteren in diesem Zusammenhang vorgebrachten Einwände in der Rechtsmitteleingabe einzugehen. Nach dem Gesagten ist insgesamt festzuhalten, dass der Beschwerdeführer für die Zeit vor dem Verlassen seines Heimatlandes keine begründete Furcht vor Verfolgung im Sinne von Art. 3 AsylG glaubhaft darzulegen vermochte. Eine begründete Furcht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 Der Beschwerdeführer konnte keine hinreichend überzeugenden und glaubhaften Indizien vorbringen, die auf eine Verfolgung schliessen lassen könnten. Aus seinen Vorbringen lassen sich entsprechend auch keine ausreichenden Hinweise auf eine begründete Furcht vor Verfolgung ableiten, die zum Zeitpunkt der Ausreise aus seinem Heimatland zu bejahen gewesen wäre. An diesem Schluss vermögen auch die eingereichten Schreiben und Beweismittel nichts zu ändern.</w:t>
      </w:r>
    </w:p>
    <w:p>
      <w:r>
        <w:rPr>
          <w:b/>
        </w:rPr>
        <w:t>E. 4.3</w:t>
      </w:r>
    </w:p>
    <w:p>
      <w:r>
        <w:t>Der Beschwerdeführer machte in der Rechtsmitteleingabe mit Verweis auf die zwei eingereichten Bestätigungsschreiben subjektive Nachfluchtgründe geltend und führte aus, daraus sei ersichtlich, dass er auch in der Schweiz nach wie vor politisch tätig sei.</w:t>
      </w:r>
    </w:p>
    <w:p>
      <w:r>
        <w:rPr>
          <w:b/>
        </w:rPr>
        <w:t>E. 4.3.1</w:t>
      </w:r>
    </w:p>
    <w:p>
      <w:r>
        <w:t>Wer sich darauf beruft, dass durch ein Verhalten nach der Ausreise aus dem Heimat- oder Herkunftsstaat - so auch durch politische Exilaktivitäten - eine Gefährdungssituation erst geschaffen worden sei, macht subjektive Nachfluchtgründe geltend (Art. 54 AsylG). Diese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(vgl. BVGE 2009/28 E. 7.1 S. 352; EMARK 1995 Nr. 7 E. 7b und 8 S. 67 und 70).</w:t>
      </w:r>
    </w:p>
    <w:p>
      <w:r>
        <w:rPr>
          <w:b/>
        </w:rPr>
        <w:t>E. 4.3.2</w:t>
      </w:r>
    </w:p>
    <w:p>
      <w:r>
        <w:t>Gemäss Erkenntnissen des Bundesverwaltungsgerichts (vgl. Urteile D-4943/2006 vom 8. Juli 2008, D-2332/2008 vom 9. September 2008 und D-2401/2008 vom 6. Oktober 2008) ist zwar davon auszugehen, dass die äthiopischen Sicherheitsbehörden die Aktivitäten der Exilgemeinschaften im Rahmen ihrer (beschränkten) Möglichkeiten überwachen und mittels elektronischer Datenbanken registrieren. Unter diesen Umständen besteht eine hohe Wahrscheinlichkeit dafür, dass im Ausland agierende Personen, welche erkennbar in der CUDP aktiv waren oder auch nur mit ihr sympathisierten, individuell identifiziert werden könnten und im Falle einer Zwangsrückschaffung dem äthiopischen Sicherheitsdienst bereits am Flughafen bekannt würden. Demnach dürfte davon auszugehen sein, dass die äthiopischen Sicherheitsorgane eine zwangsweise aus dem Ausland zurückgeführte Person, die Anhänger oder Mitglied einer regimekritischen Organisation war oder noch ist, nach wie vor als zu verfolgenden Gegner der Regierung ansehen würden, solange von dieser Person vor ihrer Ausreise aus dem jeweiligen Gastland kein eindeutiges Bekenntnis zur verfassungsmässigen Ordnung Äthiopiens und eine klare Abkehr von der bisherigen Politik dieser regimekritischen Organisationen vorliegt. Angesichts der beschränkten Ressourcen des äthiopischen Nachrichtendienstes mag sich die Frage nach einer allfälligen Überwachung in der Schweiz stellen, welche indes in casu offen bleiben kann. Von Bedeutung ist vorliegend dagegen die tatsächliche Erkennbarkeit der behaupteten exilpolitischen Tätigkeit, die Individualisierbarkeit des Beschwerdeführers sowie dessen konkrete exilpolitische Tätigkeit (vgl. Urteile D-4943/2006 vom 8. Juli 2008, D-2332/2008 vom 9. September 2008 und D-2401/2008 vom 6. Oktober 2008). Ein exponierter exilpolitischer Einsatz des Beschwerdeführers, der ihn ins Zentrum des Interesses des äthiopischen Nachrichtendienstes rücken könnte, ist aufgrund der vorliegenden Akten zu verneinen. In diesem Zusammenhang ist festzuhalten, dass bei behaupteten subjektiven Nachfluchtgründen in der Regel ein strikter Beweis möglich und deshalb auch erforderlich ist (vgl. Walter Stöckli, Asyl, in: Peter Uebersax/Peter Münch/Thomas Geiser/Martin Arnold [Hrsg.] Ausländerrecht, Handbücher für die Anwaltspraxis, Band VIII, Basel u.a. 2002, S. 365 Rz. 8.125). Die äthiopischen Behörden haben nur dann ein Interesse an der Identifizierung einer Person, wenn deren Aktivitäten als konkrete Bedrohung für das politische System wahrgenommen werden. Für die Annahme, der Beschwerdeführer habe sich in dieser besonderen Art und Weise betätigt, bestehen keine Anhaltspunkte. Er gehört mit Sicherheit nicht zur Zielgruppe des "harten Kerns" von aktiven oppositionellen Äthiopiern im Ausland, für die sich die äthiopischen Behörden interessieren. Auch hat der Beschwerdeführer keine politisch motivierte Verfolgung durch die äthiopischen Behörden vor seiner Ausreise aus seinem Heimatland glaubhaft machen können. Vorliegend ist zudem darauf zu schliessen, dass die exilpolitischen Aktivitäten sich lediglich in untergeordneten Tätigkeiten erschöpft haben. Es ist demnach nicht davon auszugehen, dass der Beschwerdeführer bei einer Rückkehr in sein Heimatland eine asylrechtlich relevante Gefährdung zu befürchten hat. Es dürfte den äthiopischen Behörden aufgefallen sein, dass die exilpolitische Betätigung vieler äthiopischer Asylsuchender nach der Ablehnung ihrer Asylgesuche regelmässig stark zunimmt respektive intensiver wird oder überhaupt erst ab diesem Zeitpunkt einsetzt, was das geltend gemachte politische Engagement als zweifelhaft erscheinen lässt. Im vorliegenden Verfahren fehlen jegliche Hinweise darauf, dass gegen den Beschwerdeführer aufgrund der vorgebrachten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des Beschwerdeführers abklären zu müssen. Subjektive Nachfluchtgründe im Sinne von Art. 54 AsylG liegen demnach nicht vor.</w:t>
      </w:r>
    </w:p>
    <w:p>
      <w:r>
        <w:rPr>
          <w:b/>
        </w:rPr>
        <w:t>E. 4.4</w:t>
      </w:r>
    </w:p>
    <w:p>
      <w:r>
        <w:t>Zusammenfassend ist daher festzuhalten, dass der Beschwerdeführer die Flüchtlingseigenschaft auch unter dem Aspekt der subjektiven Nachfluchtgründe nicht erfüllt.</w:t>
      </w:r>
    </w:p>
    <w:p>
      <w:r>
        <w:rPr>
          <w:b/>
        </w:rPr>
        <w:t>E. 4.5</w:t>
      </w:r>
    </w:p>
    <w:p>
      <w:r>
        <w:t>Der Beschwerdeführer vermochte im vorliegenden Verfahren die Voraussetzungen zur Zuerkennung der Flüchtlingseigenschaft nicht glaubhaft darzutun. Es erübrigt sich, auf die weiteren im Rahmen des Beschwerdeverfahrens vorgebrachten Ausführungen, angebotenen Beweismittel und Verfahrensanträge einzugehen, da diese in entscheidwesentlicher Hinsicht nichts ändern. Die Vorinstanz hat das Asylgesuch daher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in Äthiopien lässt den Wegweisungsvollzug zum heutigen Zeitpunkt nicht als unzulässig erscheinen. Die entsprechenden Einwände in der Rechtsmitteleingabe sind in dieser Form in Berücksichtigung der länderspezifischen Erkenntnisse nicht stichhaltig und aufgrund der oben erwogenen Einschätzung der vorliegenden Aktenlage unbegründet.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Das Bundesverwaltungsgericht geht davon aus, dass die allgemeine Lage in Äthiopien nicht durch Krieg, Bürgerkrieg oder durch eine Situation allgemeiner Gewalt gekennzeichnet ist, aufgrund derer die Zivilbevölkerung als konkret gefährdet bezeichnet werden müsste. Der Vollzug der Wegweisung ist unter diesen Umständen in genereller Hinsicht nicht unzumutbar. Der Vollzug der Wegweisung ist auch in individueller Hinsicht als zumutbar zu erachten, da keine entsprechenden Hindernisse im Sinne der zu beachtenden Bestimmung ersichtlich sind. Das BFM hat zu Recht festgestellt, dass der Beschwerdeführer in Addis Abeba über ein dichtes, tragfähiges familiäres Beziehungsnetz und über jahrelange Berufserfahrung als (...) verfügt. Zu ergänzen bleibt, dass er vor seiner Ausreise zirka ein Jahr bei Verwandten auf dem Land gelebt hat, ohne dass er dabei in existenzielle Not geraten wäre.</w:t>
      </w:r>
    </w:p>
    <w:p>
      <w:r>
        <w:rPr>
          <w:b/>
        </w:rPr>
        <w:t>E. 6.5</w:t>
      </w:r>
    </w:p>
    <w:p>
      <w:r>
        <w:t>Schliesslich ist der Vollzug der Wegweisung auch möglich (Art. 83 Abs. 2 AuG).</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die Kosten dem Beschwerdeführer aufzuerlegen (Art. 63 Abs. 1 VwVG). Sie sind durch den geleisteten Kostenvorschuss gedeckt und mit diesem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