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E-428/2015 vom 11. Februar 2015</w:t>
      </w:r>
    </w:p>
    <w:p>
      <w:r>
        <w:t>Bundesverwaltungsgericht, 2015-02-11, DE</w:t>
      </w:r>
    </w:p>
    <w:p>
      <w:r>
        <w:rPr>
          <w:b/>
        </w:rPr>
        <w:t xml:space="preserve">Quelle: </w:t>
      </w:r>
      <w:r>
        <w:t>https://mcp.opencaselaw.ch/entscheid/bvger_E-428_2015</w:t>
      </w:r>
    </w:p>
    <w:p>
      <w:r>
        <w:t>FR: TAF E-428/2015 du 11 février 2015</w:t>
      </w:r>
    </w:p>
    <w:p>
      <w:r>
        <w:t>IT: TAF E-428/2015 del 11 febbraio 2015</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Begründung der vorliegenden Beschwerde wurde nicht in einer der Schweizerischen Amtssprachen verfasst und ist demzufolge grundsätzlich als verbesserungsbedürftig im Sinne von Art. 52 VwVG zu qualifizieren. Vorliegend kann jedoch auf eine Beschwerdeverbesserung verzichtet werden, da das Bundesverwaltungsgericht diese von Amtes wegen hat übersetzen lassen, die Beschwerdebegründung genügend klar ist und ohne Weiteres über die Rechtsmitteleingabe befunden werden kann. Der Beschwerdeführer hat am Verfahren vor der Vorinstanz teilgenommen, ist durch die angefochtene Verfügung besonders berührt und hat ein schutzwürdiges Interesse an deren Aufhebung beziehungsweise Änderung. Er ist daher zur Erhebung des Rechtsmittels legitimiert, weshalb auf die frist- und - abgesehen vom vorstehend festgestellten Mangel - formgerecht eingereichte Beschwerde einzutreten ist (Art. 108 Abs. 2 AsylG sowie Art. 105 AsylG i.V.m. Art. 37 VGG und Art. 48 Abs. 1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seines Entscheids im Wesentlichen aus, der Beschwerdeführer habe die geltend gemachten Vorfälle, insbesondere die Festnahme, die Haftbedingungen in den drei Haftanstalten, das Strafverfahren, die Gerichtsverhandlung und das seiner Freilassung vorangegangene Verfahren knapp, pauschal und substanzlos geschildert und sei den gestellten Fragen ausgewichen. Zusammenfassend sei seine Darstellung als realitätsfremd zu bezeichnen sei. Daher könne nicht geglaubt werden, dass er unter den geltend gemachten Umständen von den iranischen Sicherheitsbehörden verfolgt worden sei. Die Tatsache, dass er bis anhin keine Ausweise abgegeben habe, bestätige die Unglaubhaftigkeit seiner Vorbringen. Die Erklärung, er wisse nicht genau, was er den Behörden abgeben müsse, müsse als blosse Schutzbehauptung zurückgewiesen werden. Zusammenfassend würden die Vorbringen des Beschwerdeführers den Anforderungen an die Glaubhaftigkeit gemäss Art. 7 AsylG nicht standhalten, so dass deren Asylrelevanz nicht geprüft werden müsse. Die Folge der Ablehnung eines Asylgesuchs sei die Wegweisung aus dem Transitbereich des Flughafens Zürich. Deren Vollzug sei zulässig, zumutbar und möglich.</w:t>
      </w:r>
    </w:p>
    <w:p>
      <w:r>
        <w:rPr>
          <w:b/>
        </w:rPr>
        <w:t>E. 5.2</w:t>
      </w:r>
    </w:p>
    <w:p>
      <w:r>
        <w:t>Diesen Ausführungen hält der Beschwerdeführer entgegen, seine Angaben und Erklärungen würden der Wahrheit entsprechen. Er habe nichts weiter zu erklären gehabt. Seine Erklärungen würden 18 Seiten (Länge des Anhörungsprotokolls) umfassen. Er habe in den vorangegangen Befragungen erklärt, warum er keine Unterlagen vorgelegt habe. Er habe keine umfassenden Kenntnisse vom Arbeitsprozess des SEM gehabt und erst später erfahren, dass er die Unterlagen (Beweismittel) bei der nächsten Anhörung vorlegen oder per Post einreichen könne. Die Unterlagen würden nun vorliegen. Er habe die Gründe seiner Ausreise deutlich vorgetragen. Er sei aufgrund der Drohung der nationalen Sicherheit und der Auseinandersetzung mit den Beamten verfolgt worden. Mit dem vorliegenden Gerichtsurteil sei er zu acht Jahren Haft und Auspeitschung verurteilt worden. Die Anzahl der Peitschenhiebe sei den Akten zu entnehmen. Dies zeige, dass sein Leben in Gefahr gewesen sei und er das Land habe verlassen müssen.</w:t>
      </w:r>
    </w:p>
    <w:p>
      <w:r>
        <w:rPr>
          <w:b/>
        </w:rPr>
        <w:t>E. 5.3</w:t>
      </w:r>
    </w:p>
    <w:p>
      <w:r>
        <w:t>Nach Prüfung der Akten kommt das Bundesverwaltungsgericht zum Schluss, dass die Vorinstanz die Flüchtlingseigenschaft des Beschwerdeführers zu Recht verneinte. Diesbezüglich kann zur Vermeidung von Wiederholungen auf die zutreffenden Erwägungen der angefochtenen Verfügung verwiesen werden, denen sich das Gericht vollumfänglich anschliesst und denen der Beschwerdeführer keine substanziierten Einwendungen entgegenhält. Auch die nunmehr eingereichten Beweismittel vermögen eine asylrelevante Verfolgung des Beschwerdeführers im Iran nicht glaubhaft zu machen, zumal sie nur in der leicht fälschbaren Form von Scans vorliegen. Zunächst erklärt der Beschwerdeführer nicht nachvollziehbar, warum er die - allesamt auf die Zeit vor der Asylgesuchstellung datierten - Beweismittel erst am 21. Januar 2015 und nicht im Original beigebracht hat. Die Behauptung, er habe von seiner Pflicht zur Einreichung von Beweismitteln erst nach der Anhörung erfahren, ist unbehelflich, wurde er doch mehrfach darauf aufmerksam gemacht (vgl. insbesondere A10/22 S. 4 und Ziff. 4.07; A20/18 F2 ff. S. 2). Sodann sind die Ladung vom (...) 2013 vor die Justizbehörde und der Haftbericht vom (...) 2014 offensichtlich unvollständig. So fehlen bei ersterem Dokument Einträge betreffend das gewünschte Datum der Erscheinung des Beschwerdeführers, den Gegenstand der Beschuldigung, den Erhalt des Dokuments und die Personalien sowie die Unterschrift des zustellenden Beamten. Der Bericht über den Haftzustand lässt ebenfalls diverse Einträge vermissen, so insbesondere hinsichtlich der Art und Höhe der Strafe und des Haftendes. Als Datum des Vollstreckungsbeginns wird in jenem Dokument der 5. April 2014 genannt. Gemäss den Ausführungen des Beschwerdeführers befand er sich hingegen bereits zwei Monate nach seiner Rückkehr aus Zypern (ab ca. Mitte Juli 2013) in Haft (vgl. A20/18 F46 f. S. 5). Die Ladung vom (...) 2013 vor das islamische Revolutionsgericht äussert sich ebenfalls nicht über das Datum, für welches der Beschwerdeführer vorgeladen worden sein soll. Das eingereichte Gerichtsurteil vom (...) Dezember 2014, mit welchem der Beschwerdeführer angeblich zu einer Freiheitsstrafe von 8 Jahren und 75 Peitschenhieben verurteilt worden sein soll, erweist sich schliesslich sachlich als mit den Vorbringen anlässlich der vorinstanzlichen Befragungen nicht vereinbar. So brachte der Beschwerdeführer insbesondere vor, er sei (im Herbst 2014) gegen eine Kaution freigelassen worden, weil er seine Strafe hinter sich habe (vgl. A10/22 Ziff. 7.02). Den eingereichten Dokumenten kommt mithin kein erkennbarer Beweiswert zu. Zusammenfassend gelingt es dem Beschwerdeführer nicht, die Flüchtlingseigenschaft nachzuweisen oder zumindest glaubhaft zu machen, weshalb das SEM das Asylgesuch zu Recht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Vorinstanz hielt in der angefochtenen Verfügung zutreffend fest, dass weder die im Iran herrschende politische Situation noch andere Gründe gegen die Zumutbarkeit der Rückführung des Beschwerdeführers in seinen Heimatstaat sprechen. Beim Beschwerdeführer handelt es sich um einen gut ausgebildeten, gesunden Mann, der über ein familiäres Beziehungsnetz verfügt (vgl. A20/18 F19 f. S. 3). Mithin bestehen keine Gründe dafür, dass er bei einer Rückkehr in seinen Heimatstaat in eine existenzielle Notlage geraten würde. Nach dem Gesagten erweist sich der Vollzug der Wegweisung auch als zumutbar.</w:t>
      </w:r>
    </w:p>
    <w:p>
      <w:r>
        <w:rPr>
          <w:b/>
        </w:rPr>
        <w:t>E. 7.3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daher abzuweisen.</w:t>
      </w:r>
    </w:p>
    <w:p>
      <w:r>
        <w:rPr>
          <w:b/>
        </w:rPr>
        <w:t>E. 9.1</w:t>
      </w:r>
    </w:p>
    <w:p>
      <w:r>
        <w:t>Mit vorliegendem Urteil ist das Beschwerdeverfahren abgeschlossen, weshalb der Antrag auf Verzicht auf die Erhebung eines Kostenvorschusses hinfällig wird.</w:t>
      </w:r>
    </w:p>
    <w:p>
      <w:r>
        <w:rPr>
          <w:b/>
        </w:rPr>
        <w:t>E. 9.2</w:t>
      </w:r>
    </w:p>
    <w:p>
      <w:r>
        <w:t>Bei diesem Ausgang des Verfahrens sind die Kosten dem unterliegenden Beschwerdeführer aufzuerlegen (Art. 63 Abs. 1 VwVG). Das Gesuch um Gewährung der unentgeltlichen Prozessführung ist abzuweisen, weil die Begehren - wie sich aus den vorstehenden Erwägungen ergibt - nach summarischer Prüfung als aussichtlos zu bezeichnen waren, womit eine der Voraussetzungen von Art. 65 Abs. 1 VwVG nicht erfüllt ist. Die Verfahrenskosten sind auf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