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E-428/2011 vom 21. März 2011</w:t>
      </w:r>
    </w:p>
    <w:p>
      <w:r>
        <w:t>Bundesverwaltungsgericht, 2011-03-21, DE</w:t>
      </w:r>
    </w:p>
    <w:p>
      <w:r>
        <w:rPr>
          <w:b/>
        </w:rPr>
        <w:t xml:space="preserve">Quelle: </w:t>
      </w:r>
      <w:r>
        <w:t>https://mcp.opencaselaw.ch/entscheid/bvger_E-428_2011</w:t>
      </w:r>
    </w:p>
    <w:p>
      <w:r>
        <w:t>FR: TAF E-428/2011 du 21 mars 2011</w:t>
      </w:r>
    </w:p>
    <w:p>
      <w:r>
        <w:t>IT: TAF E-428/2011 del 21 marzo 2011</w:t>
      </w:r>
    </w:p>
    <w:p>
      <w:pPr>
        <w:pStyle w:val="Heading2"/>
      </w:pPr>
      <w:r>
        <w:t>Regeste</w:t>
      </w:r>
    </w:p>
    <w:p>
      <w:r>
        <w:t>Wegweisung Dublin (Ausländerrecht)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sie nicht gegenstandslos geworden ist.</w:t>
      </w:r>
    </w:p>
    <w:p>
      <w:r>
        <w:rPr>
          <w:b/>
        </w:rPr>
        <w:t>E. 2</w:t>
      </w:r>
    </w:p>
    <w:p>
      <w:r>
        <w:t>Es werden keine Verfahrenskosten auferlegt.</w:t>
      </w:r>
    </w:p>
    <w:p>
      <w:r>
        <w:rPr>
          <w:b/>
        </w:rPr>
        <w:t>E. 3</w:t>
      </w:r>
    </w:p>
    <w:p>
      <w:r>
        <w:t>Dieses Urteil geht an die Rechsvertreterin des Beschwerdeführers, das BFM und die zuständige kantonale Behörde. Die Einzelrichterin: Die Gerichtsschreiberin: Christa Luterbacher Sandra Bodenmann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