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E-4283/2010 vom 13. Dezember 2011</w:t>
      </w:r>
    </w:p>
    <w:p>
      <w:r>
        <w:t>Bundesverwaltungsgericht, 2011-12-13, DE</w:t>
      </w:r>
    </w:p>
    <w:p>
      <w:r>
        <w:rPr>
          <w:b/>
        </w:rPr>
        <w:t xml:space="preserve">Quelle: </w:t>
      </w:r>
      <w:r>
        <w:t>https://mcp.opencaselaw.ch/entscheid/bvger_E-4283_2010</w:t>
      </w:r>
    </w:p>
    <w:p>
      <w:r>
        <w:t>FR: TAF E-4283/2010 du 13 décembre 2011</w:t>
      </w:r>
    </w:p>
    <w:p>
      <w:r>
        <w:t>IT: TAF E-4283/2010 del 13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und bereits mit Zwischenverfügung vom 24. Juni 2010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ihres ablehnenden Asylentscheides im Wesentlichen fest, dass sich im Zuge des demokratischen Wandels die Situation der ethnischen Minderheiten in Serbien entspannt habe. Am 25. Februar 2002 sei das Bundesgesetz zum Schutz und zur Freiheit der nationalen Minoritäten in Kraft getreten. Es handle sich hierbei um einen gesetzlichen Rahmen, der die Rechte der nationalen Minderheiten und der Angehörigen schütze. Vereinzelte Übergriffe durch Drittpersonen auf Roma könnten zwar nicht restlos ausgeschlossen werden, hingegen komme solchen Verfolgungsmassnahmen in der Regel keine asylrelevante Intensität zu. Ausserdem billige oder unterstütze der Staat solche Übergriffe nicht. Die vom Beschwerdeführer dargelegten Vorfälle würden auch in Serbien Straftatbestände darstellen, die verfolgt würden. Es sei daher nicht nachvollziehbar, weshalb die Beschwerdeführenden nie versucht hätten ihre Rechte zu verteidigen, indem sie einen Anwalt eingesetzt hätten oder versucht hätten, Hilfe bei nicht korrupten Polizisten zu suchen. Da grundsätzlich vom Vorhandensein eines adäquaten Schutzes durch den Heimatstaat auszugehen sei, seien die Übergriffe im vorliegenden Fall nicht asylrelevant. Die Vorbringen der Beschwerdeführenden würden den Anforderungen an die Flüchtlingseigenschaft von Art. 3 AsylG nicht standhalten, weshalb die Asylgesuche abzulehnen seien. Bei offensichtlich fehlender Asylrelevanz könne darauf verzichtet werden, auf allfällige Unglaubhaftigkeitselemente in den Vorbringen einzugehen, obwohl derart standardisierte Angaben, wie sie die Beschwerdeführenden gemacht hätten, ernste Zweifel hervorrufen würden.</w:t>
      </w:r>
    </w:p>
    <w:p>
      <w:r>
        <w:rPr>
          <w:b/>
        </w:rPr>
        <w:t>E. 5.2</w:t>
      </w:r>
    </w:p>
    <w:p>
      <w:r>
        <w:t>In ihrer Rechtsmitteleingabe wiederholen die Beschwerdeführenden ihre bereits bei der Vorinstanz gemachten Vorbringen und legen zudem dar, dass die Gründe für ihre Ausreise nicht ausschliesslich die genannten Vorfälle seien, hinzu kämen die täglichen Erniedrigungen, welche sie als Angehörige der Roma erleiden müssten. Die Beschimpfung als "Zigan" sei in ihrem Leben allgegenwärtig. Der serbische Staat sei nicht in der Lage, die Rechte der Roma zu schützen und sie vor Verfolgung und Willkür zu bewahren. Ergänzend brachten die Beschwerdeführenden vor, dass zwischenzeitlich ihr Haus - und weitere Häuser von Roma Familien - abgerissen worden sei.</w:t>
      </w:r>
    </w:p>
    <w:p>
      <w:r>
        <w:rPr>
          <w:b/>
        </w:rPr>
        <w:t>E. 5.3</w:t>
      </w:r>
    </w:p>
    <w:p>
      <w:r>
        <w:t>Die Instruktionsrichterin erwog in der Zwischenverfügung vom 24. Juni 2010 zur Begründung der Aussichtslosigkeit, dass die angefochtene Verfügung nach einer summarischen Prüfung der Akten bestätigt und der vorinstanzlichen Einschätzung, die geltend gemachten Übergriffe seien asylrechtlich als nicht relevant zu qualifizieren, gefolgt werden dürfte. In Übereinstimmung mit der Vorinstanz sei von einem adäquaten staatlichen Schutz für die Beschwerdeführenden auszugehen. Es stünde ihnen offen, rechtliche Schritte gegen allfällige fehlbare Beamte einzuleiten.</w:t>
      </w:r>
    </w:p>
    <w:p>
      <w:r>
        <w:rPr>
          <w:b/>
        </w:rPr>
        <w:t>E. 6.1</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(vgl. W. Stöckli, §11 Asyl, in: Uebersax/Rudin/Hug Yar/Geiser (Hrsg.), Ausländerrecht, 2. Auflage, Basel 2009, S. 521 - 588, S. 525 ff.). Nach der sogenannten Schutztheorie (vgl. Entscheidungen und Mitteilungen der Schweizerischen Asylrekurskommission [EMARK] 2006 Nr. 18 S. 180) kann eine Verfolgungshandlung im Sinne von Art. 3 AsylG von staatlichen und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 f.; EMARK 2006 Nr. 32 E. 6.1 S. 340 f.). Die Anerkennung der Flüchtlingseigenschaft setzt ferner voraus, dass die betroffene Person einer landesweiten Verfolgung ausgesetzt ist und nicht in einem anderen Teil ihres Heimatstaates um effektiven Schutz nachsuchen kann (vgl. EMARK 2006 Nr. 18 E. 10.3.1 f. S. 203 mit weiteren Hinweisen).</w:t>
      </w:r>
    </w:p>
    <w:p>
      <w:r>
        <w:rPr>
          <w:b/>
        </w:rPr>
        <w:t>E. 6.2</w:t>
      </w:r>
    </w:p>
    <w:p>
      <w:r>
        <w:t>Das Bundesverwaltungsgericht schliesst sich - auch unter Berücksichtigung der Ausführungen in der Rechtsmitteleingabe - der Auffassung der Vorinstanz an, wonach vom Vorhandensein eines adäquaten Schutzes der Beschwerdeführenden durch den serbischen Staat auszugehen ist. Zwar können vereinzelte Übergriffe durch Drittpersonen auf Roma nicht ausgeschlossen werden; allerdings geht das Gericht davon aus, dass der serbische Staat solche weder billige noch unterstütze. Die vor-instanzliche Feststellung, die geltend gemachten Vorfälle durch private Dritte oder einzelne Polizisten würden auch in Serbien geahndet und wären auf Anzeige hin verfolgt worden, ist zu bestätigen. Ebenso ist der Vorinstanz insoweit zuzustimmen, als bei Unterlassen der Einleitung von Untersuchungsmassnahmen durch Beamte grundsätzlich die Möglichkeit besteht, gegen diese auf dem Rechtsweg vorzugehen.</w:t>
      </w:r>
    </w:p>
    <w:p>
      <w:r>
        <w:rPr>
          <w:b/>
        </w:rPr>
        <w:t>E. 6.3</w:t>
      </w:r>
    </w:p>
    <w:p>
      <w:r>
        <w:t>Indem die Beschwerdeführenden die geschilderten Vorfälle weder bei der Polizei angezeigt, noch sich zur Wahrung ihrer Rechte an einen Anwalt gewendet haben, haben sie auf den Schutz und die Hilfe der heimatlichen Behörden verzichtet, obwohl es ihnen zumutbar gewesen wäre, darum nachzusuchen. Die asylrechtliche Relevanz der geltend gemachten Übergriffe ist demzufolge zu verneinen. Die angeblichen Schikanen und Benachteiligungen aufgrund ihrer ethnischen Zugehörigkeit sind mangels Verfolgungsintensität ebenfalls nicht asylrelevant. Betreffend die bei der Vorinstanz und auf Beschwerdeebene eingereichten fremdsprachigen Beweismittel ist festzuhalten, dass die Beschwerdeführenden trotz Aufforderung keine rechtsgenüglichen Übersetzungen beigebracht haben. Sie haben sich darauf beschränkt, den Inhalt der Dokumente kurz zusammengefasst darzulegen. Sie stünden alle (A-E) im Zusammenhang mit den Auseinandersetzungen mit der Gemeindeverwaltung betreffend ihr Haus, welche im Juni 2005 begonnen und am 22. Juni 2010 mit dem Abreissen dieses und anderer Häuser geendet habe. Aufgrund der summarischen Angaben zu den Dokumenten ist es dem Bundesverwaltungsgericht nicht möglich, sich ein vollständiges Bild über die Vorfälle im Zusammenhang mit dem Haus zu machen, jedoch beinhalten die Dokumente, soweit erkennbar, keine hinreichenden Hinweise, welche für eine asylrelevante Verfolgung der Beschwerdeführenden sprechen würden. Wie mit Zwischenverfügung vom 24. Juni 2010 angedroht, wird bei Unterlassen der Übersetzung aufgrund der bestehenden Aktenlage entschieden, welche Androhung vorliegend zum Tragen kommt. Zusammenfassend ergibt sich, dass die Vorbringen der Beschwerdeführenden als asylrechtlich nicht relevant zu betrachten sind. Die Beschwerdeführenden konnten keine Gründe nach Art. 3 AsylG nachweisen oder glaubhaft machen, weshalb die Vorinstanz die Asylgesuche zu Recht abgelehnt hat. Es erübrigt sich auf weitere Vorbringen in der Beschwerde einzugehen, da diese am Ausgang des Verfahrens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Angesichts der heutigen Lage in Serbien kann gemäss konstanter Praxis nicht von einer Situation allgemeiner Gewalt oder kriegerischen respektive bürgerkriegsähnlichen Verhältnissen gesprochen werden. Zur Lage der Roma in Serbien hat sich das Bundesverwaltungsgericht im Urteil E-4115/2006 vom 18. September 2009 ausführlich geäussert. Es stellte unter anderem fest, aufgrund ihrer ethnischen Zugehörigkeit seien Roma generell unterschiedlichen Schikanen und Diskriminierungen ausgesetzt und ihre Lage in wirtschaftlicher und sozialer Sicht sei allgemein schwierig (vgl. BVGE 2009 Nr. 51 E. 5.7.2.). Auch wenn Übergriffe von Privatpersonen auf Angehörige der Roma und teilweise behördliche Schikanen sowie Diskriminierungen nicht völlig ausgeschlossen werden können, erreichen diese im Allgemeinen nicht ein Ausmass, welches den Wegweisungsvollzug als unzumutbar erscheinen lässt (vgl. statt vieler Urteil des Bundesverwaltungsgericht D-5714/2009 vom 13. November 2009). Die Beschwerdeführenden bringen nichts Substanziiertes vor, weshalb für sie der Wegweisungsvollzug nicht zumutbar wäre. Gemäss Akten sind die Beschwerdeführenden 1 und 2 gesund und im erwerbsfähigen Alter. Es war dem Beschwerdeführer 1 offenbar - trotz Schikanen, welche nicht vollumfänglich in Abrede gestellt werden sollen - in der Vergangenheit gelungen, als Strassenmusiker für seine Familie aufzukommen (vgl. vorinstanzliche Akten A9 F10 f.), weshalb ihm zumutbar ist, bei einer Rückkehr nach Serbien diese Tätigkeit wieder aufzunehmen. Mit den beiden Müttern und zwei Schwestern verfügen die Beschwerdeführenden 1 und 2 zudem über ein familiäres Beziehungsnetz an ihrem letzten Wohnsitz in F._______. 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EMARK 2005 Nr. 6 E. 6. S. 57 f.). In diesem Zusammenhang ist festzuhalten, dass unter dem Aspekt des Kindeswohls sämtliche Umstände einzubeziehen und zu würdigen sind, die im Hinblick auf einen Wegweisungsvollzug wesentlich erscheinen (vgl. EMARK 1998 Nr. 13 E. 5e/aa).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Die Beschwerdeführenden 3 und 4 sind zwar (...) beziehungsweise (...) Jahre alt. Da sie sich jedoch erst seit gut eineinhalb Jahren in der Schweiz aufhalten, was nicht als längerer Aufenthalt zu beurteilen ist, ist trotz ihres jugendlichen Alters nicht von einer fortgeschrittenen Integration in der Schweiz auszugehen. Überdies finden sich weder in den Akten noch in der Rechtsmitteleingabe Hinweise, welche auf eine Integration in der Schweiz schliessen liessen. Somit erweist sich der Vollzug der Wegweisung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Sie sind durch den am 8. Juli 2010 in gleicher Höhe geleisteten Kostenvorschuss, mit welchem sie zu verrechnen sind,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