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E-4276/2020 vom 17. September 2020</w:t>
      </w:r>
    </w:p>
    <w:p>
      <w:r>
        <w:t>Bundesverwaltungsgericht, 2020-09-17, DE</w:t>
      </w:r>
    </w:p>
    <w:p>
      <w:r>
        <w:rPr>
          <w:b/>
        </w:rPr>
        <w:t xml:space="preserve">Quelle: </w:t>
      </w:r>
      <w:r>
        <w:t>https://mcp.opencaselaw.ch/entscheid/bvger_E-4276_2020</w:t>
      </w:r>
    </w:p>
    <w:p>
      <w:r>
        <w:t>FR: TAF E-4276/2020 du 17 septembre 2020</w:t>
      </w:r>
    </w:p>
    <w:p>
      <w:r>
        <w:t>IT: TAF E-4276/2020 del 17 settembre 2020</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3.1</w:t>
      </w:r>
    </w:p>
    <w:p>
      <w:r>
        <w:t>Als Asylgesuch gilt gemäss Art. 18 AsylG jede Äusserung, mit der eine Person zu erkennen gibt, dass sie die Schweiz um Schutz vor Verfolgung ersucht. Die Praxis geht dabei von einem weiten Verfolgungsbegriff aus; neben den in Art. 3 AsylG genannten Gründen sind auch Wegweisungshindernisse im Sinne von Art. 44 AsylG i.V.m. Art. 83 Abs. 2-4 AIG (SR 142.20) umfasst, sofern diese von Menschenhand geschaffen wurden (vgl. bereits Entscheidungen und Mitteilungen der vormaligen Schweizerischen Asylrekurskommission [EMARK] 2003 Nr. 18 und seither konstante Praxis).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3.2</w:t>
      </w:r>
    </w:p>
    <w:p>
      <w:r>
        <w:t>Die Vorinstanz hat in der Verfügung zutreffend festgestellt, dass kein Asylgesuch im Sinne von Art. 18 AsylG vorliegt. Der Beschwerdeführer selbst hat in der Erstbefragung erklärt, er sei wegen seiner Diabeteserkrankung in die Schweiz gekommen und weil seine damalige Freundin in der Schweiz gewohnt habe. Probleme mit den Behörden oder mit Drittpersonen habe er in Kosovo keine gehabt. Somit hat er in seinem Gesuch weder eine Verfolgung noch eine Furcht vor zukünftiger Verfolgung im Kosovo geltend gemacht. Die Vorinstanz ist folglich gestützt auf Art. 31a Abs. 3 AsylG zu Recht nicht auf das Asylgesuch des Beschwerdeführers eingetreten.</w:t>
      </w:r>
    </w:p>
    <w:p>
      <w:r>
        <w:rPr>
          <w:b/>
        </w:rPr>
        <w:t>E. 4.1</w:t>
      </w:r>
    </w:p>
    <w:p>
      <w:r>
        <w:t>Gemäss Art. 44 AsylG verfügt das SEM in der Regel die Wegweisung aus der Schweiz, wenn es das Asylgesuch ablehnt oder nicht darauf eintritt.</w:t>
      </w:r>
    </w:p>
    <w:p>
      <w:r>
        <w:rPr>
          <w:b/>
        </w:rPr>
        <w:t>E. 4.2</w:t>
      </w:r>
    </w:p>
    <w:p>
      <w:r>
        <w:t>Gemäss Art. 32 Abs. 1 der Asylverordnung 1 über Verfahrensfragen (AsylV 1, SR 142.311) wird die Wegweisung aus der Schweiz (unter anderem) nicht verfügt, wenn die asylsuchende Person von einer rechtskräftigen Landesverweisung nach Art. 66a oder 66abis des Strafgesetzbuches (StGB; SR 311.0) betroffen ist (vgl. Botschaft zur Änderung des Strafgesetzbuchs und des Militärstrafgesetzes [Umsetzung von Art. 121 Abs. 3-6 BV über die Ausschaffung krimineller Ausländerinnen und Ausländer] vom 26. Juni 2013, BBl 2013 6006 ff.).</w:t>
      </w:r>
    </w:p>
    <w:p>
      <w:r>
        <w:rPr>
          <w:b/>
        </w:rPr>
        <w:t>E. 4.3</w:t>
      </w:r>
    </w:p>
    <w:p>
      <w:r>
        <w:t>Mit in Rechtskraft erwachsenem Urteil des Appellationsgerichts des Kantons Basel-Stadt vom 12. März 2020 wurde gegen den Beschwerdeführer gestützt auf Art. 66a Abs. 1 StGB eine obligatorische Landesverweisung von zehn Jahren ausgesprochen. Die Vorinstanz hat demnach in korrekter Weise festgestellt, dass der Entscheid über den Vollzug der Landesverweisung in der Kompetenz der kantonalen Behörden liegt und zu Recht auf die Anordnung der Wegweisung sowie die Prüfung von allfälligen Vollzugshindernissen verzichtet.</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